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2F" w:rsidRPr="00BE582F" w:rsidRDefault="00BE582F" w:rsidP="00BE582F">
      <w:pPr>
        <w:spacing w:after="0" w:line="240" w:lineRule="auto"/>
        <w:outlineLvl w:val="1"/>
        <w:rPr>
          <w:rFonts w:ascii="Tahoma" w:eastAsia="Times New Roman" w:hAnsi="Tahoma" w:cs="Tahoma"/>
          <w:color w:val="E13137"/>
          <w:sz w:val="36"/>
          <w:szCs w:val="36"/>
        </w:rPr>
      </w:pPr>
      <w:hyperlink r:id="rId5" w:anchor="content7" w:history="1">
        <w:r w:rsidRPr="00BE582F">
          <w:rPr>
            <w:rFonts w:ascii="����" w:eastAsia="Times New Roman" w:hAnsi="����" w:cs="Tahoma"/>
            <w:b/>
            <w:bCs/>
            <w:color w:val="555555"/>
            <w:sz w:val="18"/>
            <w:szCs w:val="18"/>
            <w:bdr w:val="single" w:sz="6" w:space="5" w:color="E36498" w:frame="1"/>
          </w:rPr>
          <w:t>Virginia Long-term care (EDCD waiver) program resources</w:t>
        </w:r>
      </w:hyperlink>
      <w:hyperlink r:id="rId6" w:anchor="content7" w:history="1">
        <w:r w:rsidRPr="00BE582F">
          <w:rPr>
            <w:rFonts w:ascii="����" w:eastAsia="Times New Roman" w:hAnsi="����" w:cs="Tahoma"/>
            <w:b/>
            <w:bCs/>
            <w:color w:val="555555"/>
            <w:sz w:val="18"/>
            <w:szCs w:val="18"/>
          </w:rPr>
          <w:t>Click Here</w:t>
        </w:r>
      </w:hyperlink>
    </w:p>
    <w:p w:rsidR="00BE582F" w:rsidRPr="00BE582F" w:rsidRDefault="00BE582F" w:rsidP="00BE582F">
      <w:pPr>
        <w:spacing w:after="240" w:line="240" w:lineRule="auto"/>
        <w:rPr>
          <w:rFonts w:ascii="Tahoma" w:eastAsia="Times New Roman" w:hAnsi="Tahoma" w:cs="Tahoma"/>
          <w:b/>
          <w:bCs/>
          <w:color w:val="444444"/>
          <w:sz w:val="21"/>
          <w:szCs w:val="21"/>
        </w:rPr>
      </w:pPr>
      <w:r w:rsidRPr="00BE582F">
        <w:rPr>
          <w:rFonts w:ascii="Tahoma" w:eastAsia="Times New Roman" w:hAnsi="Tahoma" w:cs="Tahoma"/>
          <w:b/>
          <w:bCs/>
          <w:color w:val="4370C3"/>
          <w:sz w:val="26"/>
          <w:szCs w:val="26"/>
        </w:rPr>
        <w:t>ENROLLMENT INTO THE EDCD WAIVER</w:t>
      </w:r>
      <w:r w:rsidRPr="00BE582F">
        <w:rPr>
          <w:rFonts w:ascii="Tahoma" w:eastAsia="Times New Roman" w:hAnsi="Tahoma" w:cs="Tahoma"/>
          <w:b/>
          <w:bCs/>
          <w:color w:val="444444"/>
          <w:sz w:val="21"/>
          <w:szCs w:val="21"/>
        </w:rPr>
        <w:t> </w:t>
      </w:r>
      <w:r w:rsidRPr="00BE582F">
        <w:rPr>
          <w:rFonts w:ascii="Tahoma" w:eastAsia="Times New Roman" w:hAnsi="Tahoma" w:cs="Tahoma"/>
          <w:b/>
          <w:bCs/>
          <w:color w:val="444444"/>
          <w:sz w:val="21"/>
          <w:szCs w:val="21"/>
        </w:rPr>
        <w:br/>
      </w:r>
      <w:r w:rsidRPr="00BE582F">
        <w:rPr>
          <w:rFonts w:ascii="Tahoma" w:eastAsia="Times New Roman" w:hAnsi="Tahoma" w:cs="Tahoma"/>
          <w:b/>
          <w:bCs/>
          <w:color w:val="444444"/>
          <w:sz w:val="21"/>
          <w:szCs w:val="21"/>
        </w:rPr>
        <w:br/>
        <w:t>All individuals enrolled in the EDCD Waiver must meet the nursing facility level of care (LOC). Prior to enrollment into the waiver, individuals for whom there is a reasonable indication that services may be needed in the future may request and receive an individual LOC evaluation. This initial evaluation is part of the pre-admission screening (PAS) that is conducted by community or Hospital based teams. </w:t>
      </w:r>
      <w:r w:rsidRPr="00BE582F">
        <w:rPr>
          <w:rFonts w:ascii="Tahoma" w:eastAsia="Times New Roman" w:hAnsi="Tahoma" w:cs="Tahoma"/>
          <w:b/>
          <w:bCs/>
          <w:color w:val="444444"/>
          <w:sz w:val="21"/>
          <w:szCs w:val="21"/>
        </w:rPr>
        <w:br/>
      </w:r>
      <w:r w:rsidRPr="00BE582F">
        <w:rPr>
          <w:rFonts w:ascii="Tahoma" w:eastAsia="Times New Roman" w:hAnsi="Tahoma" w:cs="Tahoma"/>
          <w:b/>
          <w:bCs/>
          <w:color w:val="444444"/>
          <w:sz w:val="21"/>
          <w:szCs w:val="21"/>
        </w:rPr>
        <w:br/>
        <w:t>All preadmission screenings include a face-to-face assessment with the individual and family or caregivers, as appropriate, to determine the individuals’ needs based on functional criteria, medical and nursing needs, and the risk for placement into an institution in the absence of waiver services. This standardized assessment is documented on the Virginia Uniform Assessment Instrument (UAI), which guides the team in identifying the individual’s appropriate LOC requirements based on medical needs and circumstances. </w:t>
      </w:r>
      <w:r w:rsidRPr="00BE582F">
        <w:rPr>
          <w:rFonts w:ascii="Tahoma" w:eastAsia="Times New Roman" w:hAnsi="Tahoma" w:cs="Tahoma"/>
          <w:b/>
          <w:bCs/>
          <w:color w:val="444444"/>
          <w:sz w:val="21"/>
          <w:szCs w:val="21"/>
        </w:rPr>
        <w:br/>
      </w:r>
      <w:r w:rsidRPr="00BE582F">
        <w:rPr>
          <w:rFonts w:ascii="Tahoma" w:eastAsia="Times New Roman" w:hAnsi="Tahoma" w:cs="Tahoma"/>
          <w:b/>
          <w:bCs/>
          <w:color w:val="444444"/>
          <w:sz w:val="21"/>
          <w:szCs w:val="21"/>
        </w:rPr>
        <w:br/>
        <w:t>Medicaid shall not pay for any home and community-based care services delivered prior to the individual establishing Medicaid eligibility and prior to the date of the preadmission screening by the Preadmission Screening Team or DMAS-enrolled hospital provider and the physician signature on the Medicaid Funded Long-Term Care Services Authorization Form (DMAS-96).</w:t>
      </w:r>
      <w:r w:rsidRPr="00BE582F">
        <w:rPr>
          <w:rFonts w:ascii="Tahoma" w:eastAsia="Times New Roman" w:hAnsi="Tahoma" w:cs="Tahoma"/>
          <w:b/>
          <w:bCs/>
          <w:color w:val="444444"/>
          <w:sz w:val="21"/>
          <w:szCs w:val="21"/>
        </w:rPr>
        <w:br/>
      </w:r>
      <w:r w:rsidRPr="00BE582F">
        <w:rPr>
          <w:rFonts w:ascii="Tahoma" w:eastAsia="Times New Roman" w:hAnsi="Tahoma" w:cs="Tahoma"/>
          <w:b/>
          <w:bCs/>
          <w:color w:val="444444"/>
          <w:sz w:val="21"/>
          <w:szCs w:val="21"/>
        </w:rPr>
        <w:br/>
      </w:r>
      <w:r w:rsidRPr="00BE582F">
        <w:rPr>
          <w:rFonts w:ascii="Tahoma" w:eastAsia="Times New Roman" w:hAnsi="Tahoma" w:cs="Tahoma"/>
          <w:b/>
          <w:bCs/>
          <w:color w:val="4370C3"/>
          <w:sz w:val="23"/>
          <w:szCs w:val="23"/>
        </w:rPr>
        <w:t>EDCD AVAILABLE SERVICES:</w:t>
      </w:r>
      <w:r w:rsidRPr="00BE582F">
        <w:rPr>
          <w:rFonts w:ascii="Tahoma" w:eastAsia="Times New Roman" w:hAnsi="Tahoma" w:cs="Tahoma"/>
          <w:b/>
          <w:bCs/>
          <w:color w:val="444444"/>
          <w:sz w:val="21"/>
          <w:szCs w:val="21"/>
        </w:rPr>
        <w:t> </w:t>
      </w:r>
    </w:p>
    <w:p w:rsidR="00BE582F" w:rsidRPr="00BE582F" w:rsidRDefault="00BE582F" w:rsidP="00BE582F">
      <w:pPr>
        <w:spacing w:after="0" w:line="240" w:lineRule="auto"/>
        <w:rPr>
          <w:rFonts w:ascii="Tahoma" w:eastAsia="Times New Roman" w:hAnsi="Tahoma" w:cs="Tahoma"/>
          <w:b/>
          <w:bCs/>
          <w:color w:val="444444"/>
          <w:sz w:val="21"/>
          <w:szCs w:val="21"/>
        </w:rPr>
      </w:pPr>
      <w:r w:rsidRPr="00BE582F">
        <w:rPr>
          <w:rFonts w:ascii="Tahoma" w:eastAsia="Times New Roman" w:hAnsi="Tahoma" w:cs="Tahoma"/>
          <w:b/>
          <w:bCs/>
          <w:color w:val="444444"/>
          <w:sz w:val="21"/>
          <w:szCs w:val="21"/>
        </w:rPr>
        <w:t>o Adult Day Health Care;</w:t>
      </w:r>
      <w:r w:rsidRPr="00BE582F">
        <w:rPr>
          <w:rFonts w:ascii="Tahoma" w:eastAsia="Times New Roman" w:hAnsi="Tahoma" w:cs="Tahoma"/>
          <w:b/>
          <w:bCs/>
          <w:color w:val="444444"/>
          <w:sz w:val="21"/>
          <w:szCs w:val="21"/>
        </w:rPr>
        <w:br/>
        <w:t>o Personal Care Aide Services;</w:t>
      </w:r>
      <w:r w:rsidRPr="00BE582F">
        <w:rPr>
          <w:rFonts w:ascii="Tahoma" w:eastAsia="Times New Roman" w:hAnsi="Tahoma" w:cs="Tahoma"/>
          <w:b/>
          <w:bCs/>
          <w:color w:val="444444"/>
          <w:sz w:val="21"/>
          <w:szCs w:val="21"/>
        </w:rPr>
        <w:br/>
        <w:t>o Respite Care;</w:t>
      </w:r>
      <w:r w:rsidRPr="00BE582F">
        <w:rPr>
          <w:rFonts w:ascii="Tahoma" w:eastAsia="Times New Roman" w:hAnsi="Tahoma" w:cs="Tahoma"/>
          <w:b/>
          <w:bCs/>
          <w:color w:val="444444"/>
          <w:sz w:val="21"/>
          <w:szCs w:val="21"/>
        </w:rPr>
        <w:br/>
        <w:t>o Personal Emergency Response System (PERS)</w:t>
      </w:r>
    </w:p>
    <w:p w:rsidR="00BE582F" w:rsidRPr="00BE582F" w:rsidRDefault="00BE582F" w:rsidP="00BE582F">
      <w:pPr>
        <w:spacing w:after="240" w:line="240" w:lineRule="auto"/>
        <w:rPr>
          <w:rFonts w:ascii="Tahoma" w:eastAsia="Times New Roman" w:hAnsi="Tahoma" w:cs="Tahoma"/>
          <w:b/>
          <w:bCs/>
          <w:color w:val="444444"/>
          <w:sz w:val="21"/>
          <w:szCs w:val="21"/>
        </w:rPr>
      </w:pPr>
    </w:p>
    <w:p w:rsidR="00BE582F" w:rsidRPr="00BE582F" w:rsidRDefault="00BE582F" w:rsidP="00BE582F">
      <w:pPr>
        <w:spacing w:after="0" w:line="240" w:lineRule="auto"/>
        <w:rPr>
          <w:rFonts w:ascii="Arial" w:eastAsia="Times New Roman" w:hAnsi="Arial" w:cs="Arial"/>
          <w:b/>
          <w:bCs/>
          <w:color w:val="444444"/>
          <w:sz w:val="21"/>
          <w:szCs w:val="21"/>
        </w:rPr>
      </w:pPr>
      <w:r w:rsidRPr="00BE582F">
        <w:rPr>
          <w:rFonts w:ascii="Arial" w:eastAsia="Times New Roman" w:hAnsi="Arial" w:cs="Arial"/>
          <w:b/>
          <w:bCs/>
          <w:color w:val="444444"/>
          <w:sz w:val="30"/>
          <w:szCs w:val="30"/>
          <w:u w:val="single"/>
        </w:rPr>
        <w:t>Intake Line for Personal Care service in VA</w:t>
      </w:r>
    </w:p>
    <w:p w:rsidR="00BE582F" w:rsidRPr="00BE582F" w:rsidRDefault="00BE582F" w:rsidP="00BE582F">
      <w:pPr>
        <w:spacing w:after="0" w:line="240" w:lineRule="auto"/>
        <w:rPr>
          <w:rFonts w:ascii="Arial" w:eastAsia="Times New Roman" w:hAnsi="Arial" w:cs="Arial"/>
          <w:b/>
          <w:bCs/>
          <w:color w:val="444444"/>
          <w:sz w:val="21"/>
          <w:szCs w:val="21"/>
        </w:rPr>
      </w:pPr>
      <w:r w:rsidRPr="00BE582F">
        <w:rPr>
          <w:rFonts w:ascii="Arial" w:eastAsia="Times New Roman" w:hAnsi="Arial" w:cs="Arial"/>
          <w:b/>
          <w:bCs/>
          <w:color w:val="444444"/>
          <w:sz w:val="21"/>
          <w:szCs w:val="21"/>
        </w:rPr>
        <w:t>; Information about home care Assessment and coordination of care</w:t>
      </w:r>
      <w:r w:rsidRPr="00BE582F">
        <w:rPr>
          <w:rFonts w:ascii="Arial" w:eastAsia="Times New Roman" w:hAnsi="Arial" w:cs="Arial"/>
          <w:b/>
          <w:bCs/>
          <w:color w:val="444444"/>
          <w:sz w:val="21"/>
          <w:szCs w:val="21"/>
        </w:rPr>
        <w:br/>
        <w:t>Apply for Long-Term Care Medicaid/ Aging, Disability and Caregiver Resources</w:t>
      </w:r>
    </w:p>
    <w:p w:rsidR="00BE582F" w:rsidRPr="00BE582F" w:rsidRDefault="00BE582F" w:rsidP="00BE582F">
      <w:pPr>
        <w:spacing w:after="240" w:line="240" w:lineRule="auto"/>
        <w:rPr>
          <w:rFonts w:ascii="Arial" w:eastAsia="Times New Roman" w:hAnsi="Arial" w:cs="Arial"/>
          <w:b/>
          <w:bCs/>
          <w:color w:val="444444"/>
          <w:sz w:val="21"/>
          <w:szCs w:val="21"/>
        </w:rPr>
      </w:pPr>
    </w:p>
    <w:p w:rsidR="00BE582F" w:rsidRPr="00BE582F" w:rsidRDefault="00BE582F" w:rsidP="00BE582F">
      <w:pPr>
        <w:spacing w:after="0" w:line="240" w:lineRule="auto"/>
        <w:rPr>
          <w:rFonts w:ascii="Arial" w:eastAsia="Times New Roman" w:hAnsi="Arial" w:cs="Arial"/>
          <w:b/>
          <w:bCs/>
          <w:color w:val="444444"/>
          <w:sz w:val="21"/>
          <w:szCs w:val="21"/>
        </w:rPr>
      </w:pPr>
      <w:r w:rsidRPr="00BE582F">
        <w:rPr>
          <w:rFonts w:ascii="Arial" w:eastAsia="Times New Roman" w:hAnsi="Arial" w:cs="Arial"/>
          <w:b/>
          <w:bCs/>
          <w:color w:val="444444"/>
          <w:sz w:val="21"/>
          <w:szCs w:val="21"/>
        </w:rPr>
        <w:t>• Fairfax county:703-324-7948 </w:t>
      </w:r>
      <w:r w:rsidRPr="00BE582F">
        <w:rPr>
          <w:rFonts w:ascii="Arial" w:eastAsia="Times New Roman" w:hAnsi="Arial" w:cs="Arial"/>
          <w:b/>
          <w:bCs/>
          <w:color w:val="444444"/>
          <w:sz w:val="21"/>
          <w:szCs w:val="21"/>
        </w:rPr>
        <w:br/>
        <w:t>• City of Alexandria: 703-746-5999 </w:t>
      </w:r>
      <w:bookmarkStart w:id="0" w:name="_GoBack"/>
      <w:bookmarkEnd w:id="0"/>
      <w:r w:rsidRPr="00BE582F">
        <w:rPr>
          <w:rFonts w:ascii="Arial" w:eastAsia="Times New Roman" w:hAnsi="Arial" w:cs="Arial"/>
          <w:b/>
          <w:bCs/>
          <w:color w:val="444444"/>
          <w:sz w:val="21"/>
          <w:szCs w:val="21"/>
        </w:rPr>
        <w:br/>
        <w:t>• Arlington county: 703-228-1700 </w:t>
      </w:r>
      <w:r w:rsidRPr="00BE582F">
        <w:rPr>
          <w:rFonts w:ascii="Arial" w:eastAsia="Times New Roman" w:hAnsi="Arial" w:cs="Arial"/>
          <w:b/>
          <w:bCs/>
          <w:color w:val="444444"/>
          <w:sz w:val="21"/>
          <w:szCs w:val="21"/>
        </w:rPr>
        <w:br/>
        <w:t>• Loudoun County: 703-777-0353 </w:t>
      </w:r>
      <w:r w:rsidRPr="00BE582F">
        <w:rPr>
          <w:rFonts w:ascii="Arial" w:eastAsia="Times New Roman" w:hAnsi="Arial" w:cs="Arial"/>
          <w:b/>
          <w:bCs/>
          <w:color w:val="444444"/>
          <w:sz w:val="21"/>
          <w:szCs w:val="21"/>
        </w:rPr>
        <w:br/>
        <w:t>• City of Manassas: 703-361-8277 </w:t>
      </w:r>
      <w:r w:rsidRPr="00BE582F">
        <w:rPr>
          <w:rFonts w:ascii="Arial" w:eastAsia="Times New Roman" w:hAnsi="Arial" w:cs="Arial"/>
          <w:b/>
          <w:bCs/>
          <w:color w:val="444444"/>
          <w:sz w:val="21"/>
          <w:szCs w:val="21"/>
        </w:rPr>
        <w:br/>
        <w:t>• Manassas park: 703-335-8891 </w:t>
      </w:r>
      <w:r w:rsidRPr="00BE582F">
        <w:rPr>
          <w:rFonts w:ascii="Arial" w:eastAsia="Times New Roman" w:hAnsi="Arial" w:cs="Arial"/>
          <w:b/>
          <w:bCs/>
          <w:color w:val="444444"/>
          <w:sz w:val="21"/>
          <w:szCs w:val="21"/>
        </w:rPr>
        <w:br/>
        <w:t>• Prince William county:703-792-5880 </w:t>
      </w:r>
    </w:p>
    <w:p w:rsidR="00BE582F" w:rsidRPr="00BE582F" w:rsidRDefault="00BE582F" w:rsidP="00BE582F">
      <w:pPr>
        <w:spacing w:after="0" w:line="240" w:lineRule="auto"/>
        <w:rPr>
          <w:rFonts w:ascii="Arial" w:eastAsia="Times New Roman" w:hAnsi="Arial" w:cs="Arial"/>
          <w:b/>
          <w:bCs/>
          <w:color w:val="444444"/>
          <w:sz w:val="21"/>
          <w:szCs w:val="21"/>
        </w:rPr>
      </w:pPr>
      <w:r w:rsidRPr="00BE582F">
        <w:rPr>
          <w:rFonts w:ascii="Arial" w:eastAsia="Times New Roman" w:hAnsi="Arial" w:cs="Arial"/>
          <w:b/>
          <w:bCs/>
          <w:color w:val="444444"/>
          <w:sz w:val="21"/>
          <w:szCs w:val="21"/>
        </w:rPr>
        <w:t>(</w:t>
      </w:r>
      <w:r w:rsidRPr="00BE582F">
        <w:rPr>
          <w:rFonts w:ascii="Arial" w:eastAsia="Times New Roman" w:hAnsi="Arial" w:cs="Arial"/>
          <w:b/>
          <w:bCs/>
          <w:color w:val="444444"/>
          <w:sz w:val="21"/>
          <w:szCs w:val="21"/>
          <w:u w:val="single"/>
        </w:rPr>
        <w:t>Option#1</w:t>
      </w:r>
      <w:r w:rsidRPr="00BE582F">
        <w:rPr>
          <w:rFonts w:ascii="Arial" w:eastAsia="Times New Roman" w:hAnsi="Arial" w:cs="Arial"/>
          <w:b/>
          <w:bCs/>
          <w:color w:val="444444"/>
          <w:sz w:val="21"/>
          <w:szCs w:val="21"/>
        </w:rPr>
        <w:t>: Manassas, Gainesville, Haymarket / </w:t>
      </w:r>
      <w:r w:rsidRPr="00BE582F">
        <w:rPr>
          <w:rFonts w:ascii="Arial" w:eastAsia="Times New Roman" w:hAnsi="Arial" w:cs="Arial"/>
          <w:b/>
          <w:bCs/>
          <w:color w:val="444444"/>
          <w:sz w:val="21"/>
          <w:szCs w:val="21"/>
          <w:u w:val="single"/>
        </w:rPr>
        <w:t>Opton#2</w:t>
      </w:r>
      <w:r w:rsidRPr="00BE582F">
        <w:rPr>
          <w:rFonts w:ascii="Arial" w:eastAsia="Times New Roman" w:hAnsi="Arial" w:cs="Arial"/>
          <w:b/>
          <w:bCs/>
          <w:color w:val="444444"/>
          <w:sz w:val="21"/>
          <w:szCs w:val="21"/>
        </w:rPr>
        <w:t>: Woodbridge, Dumfries)</w:t>
      </w:r>
    </w:p>
    <w:p w:rsidR="00BE582F" w:rsidRPr="00BE582F" w:rsidRDefault="00BE582F" w:rsidP="00BE582F">
      <w:pPr>
        <w:spacing w:after="240" w:line="240" w:lineRule="auto"/>
        <w:rPr>
          <w:rFonts w:ascii="Tahoma" w:eastAsia="Times New Roman" w:hAnsi="Tahoma" w:cs="Tahoma"/>
          <w:b/>
          <w:bCs/>
          <w:color w:val="444444"/>
          <w:sz w:val="21"/>
          <w:szCs w:val="21"/>
        </w:rPr>
      </w:pPr>
    </w:p>
    <w:p w:rsidR="00BE582F" w:rsidRPr="00BE582F" w:rsidRDefault="00BE582F" w:rsidP="00BE582F">
      <w:pPr>
        <w:spacing w:after="0" w:line="240" w:lineRule="auto"/>
        <w:rPr>
          <w:rFonts w:ascii="Tahoma" w:eastAsia="Times New Roman" w:hAnsi="Tahoma" w:cs="Tahoma"/>
          <w:b/>
          <w:bCs/>
          <w:color w:val="FF0000"/>
          <w:sz w:val="21"/>
          <w:szCs w:val="21"/>
        </w:rPr>
      </w:pPr>
      <w:r w:rsidRPr="00BE582F">
        <w:rPr>
          <w:rFonts w:ascii="Tahoma" w:eastAsia="Times New Roman" w:hAnsi="Tahoma" w:cs="Tahoma"/>
          <w:b/>
          <w:bCs/>
          <w:color w:val="FF0000"/>
          <w:sz w:val="21"/>
          <w:szCs w:val="21"/>
        </w:rPr>
        <w:t>CarePeople Home Health, Inc is a provider for Personal care, Respite care and Adult Day Care in VA. Call 571-297-4747 for PCA service and Call 703-506-3333 for Adult Day Care service.</w:t>
      </w:r>
    </w:p>
    <w:p w:rsidR="00BE582F" w:rsidRPr="00BE582F" w:rsidRDefault="00BE582F" w:rsidP="00BE582F">
      <w:pPr>
        <w:spacing w:after="0" w:line="240" w:lineRule="auto"/>
        <w:rPr>
          <w:rFonts w:ascii="Tahoma" w:eastAsia="Times New Roman" w:hAnsi="Tahoma" w:cs="Tahoma"/>
          <w:b/>
          <w:bCs/>
          <w:color w:val="444444"/>
          <w:sz w:val="21"/>
          <w:szCs w:val="21"/>
        </w:rPr>
      </w:pPr>
    </w:p>
    <w:p w:rsidR="006D6F58" w:rsidRDefault="00BE582F"/>
    <w:sectPr w:rsidR="006D6F58" w:rsidSect="008C5FB9">
      <w:pgSz w:w="12240" w:h="15840"/>
      <w:pgMar w:top="1440" w:right="1325" w:bottom="1166" w:left="1325" w:header="1008" w:footer="97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6D"/>
    <w:rsid w:val="00116A7D"/>
    <w:rsid w:val="008C5FB9"/>
    <w:rsid w:val="00A5416D"/>
    <w:rsid w:val="00BE582F"/>
    <w:rsid w:val="00EC7AFD"/>
    <w:rsid w:val="00F12B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82949">
      <w:bodyDiv w:val="1"/>
      <w:marLeft w:val="0"/>
      <w:marRight w:val="0"/>
      <w:marTop w:val="0"/>
      <w:marBottom w:val="0"/>
      <w:divBdr>
        <w:top w:val="none" w:sz="0" w:space="0" w:color="auto"/>
        <w:left w:val="none" w:sz="0" w:space="0" w:color="auto"/>
        <w:bottom w:val="none" w:sz="0" w:space="0" w:color="auto"/>
        <w:right w:val="none" w:sz="0" w:space="0" w:color="auto"/>
      </w:divBdr>
      <w:divsChild>
        <w:div w:id="1487474204">
          <w:marLeft w:val="0"/>
          <w:marRight w:val="0"/>
          <w:marTop w:val="0"/>
          <w:marBottom w:val="0"/>
          <w:divBdr>
            <w:top w:val="none" w:sz="0" w:space="0" w:color="auto"/>
            <w:left w:val="none" w:sz="0" w:space="0" w:color="auto"/>
            <w:bottom w:val="none" w:sz="0" w:space="0" w:color="auto"/>
            <w:right w:val="none" w:sz="0" w:space="0" w:color="auto"/>
          </w:divBdr>
        </w:div>
        <w:div w:id="1960255489">
          <w:marLeft w:val="0"/>
          <w:marRight w:val="0"/>
          <w:marTop w:val="0"/>
          <w:marBottom w:val="0"/>
          <w:divBdr>
            <w:top w:val="none" w:sz="0" w:space="0" w:color="auto"/>
            <w:left w:val="none" w:sz="0" w:space="0" w:color="auto"/>
            <w:bottom w:val="none" w:sz="0" w:space="0" w:color="auto"/>
            <w:right w:val="none" w:sz="0" w:space="0" w:color="auto"/>
          </w:divBdr>
          <w:divsChild>
            <w:div w:id="1479029338">
              <w:marLeft w:val="0"/>
              <w:marRight w:val="0"/>
              <w:marTop w:val="0"/>
              <w:marBottom w:val="0"/>
              <w:divBdr>
                <w:top w:val="none" w:sz="0" w:space="0" w:color="auto"/>
                <w:left w:val="none" w:sz="0" w:space="0" w:color="auto"/>
                <w:bottom w:val="none" w:sz="0" w:space="0" w:color="auto"/>
                <w:right w:val="none" w:sz="0" w:space="0" w:color="auto"/>
              </w:divBdr>
            </w:div>
            <w:div w:id="1108282635">
              <w:marLeft w:val="0"/>
              <w:marRight w:val="0"/>
              <w:marTop w:val="0"/>
              <w:marBottom w:val="0"/>
              <w:divBdr>
                <w:top w:val="none" w:sz="0" w:space="0" w:color="auto"/>
                <w:left w:val="none" w:sz="0" w:space="0" w:color="auto"/>
                <w:bottom w:val="none" w:sz="0" w:space="0" w:color="auto"/>
                <w:right w:val="none" w:sz="0" w:space="0" w:color="auto"/>
              </w:divBdr>
            </w:div>
          </w:divsChild>
        </w:div>
        <w:div w:id="1731999829">
          <w:marLeft w:val="0"/>
          <w:marRight w:val="0"/>
          <w:marTop w:val="0"/>
          <w:marBottom w:val="0"/>
          <w:divBdr>
            <w:top w:val="none" w:sz="0" w:space="0" w:color="auto"/>
            <w:left w:val="none" w:sz="0" w:space="0" w:color="auto"/>
            <w:bottom w:val="none" w:sz="0" w:space="0" w:color="auto"/>
            <w:right w:val="none" w:sz="0" w:space="0" w:color="auto"/>
          </w:divBdr>
        </w:div>
        <w:div w:id="65518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epeople.net/Sub01/sub.asp?Cont=4" TargetMode="External"/><Relationship Id="rId5" Type="http://schemas.openxmlformats.org/officeDocument/2006/relationships/hyperlink" Target="http://www.carepeople.net/Sub01/sub.asp?Cont=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Company>HP</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suchul lee</dc:creator>
  <cp:keywords/>
  <dc:description/>
  <cp:lastModifiedBy>suchul lee</cp:lastModifiedBy>
  <cp:revision>3</cp:revision>
  <dcterms:created xsi:type="dcterms:W3CDTF">2019-02-06T22:03:00Z</dcterms:created>
  <dcterms:modified xsi:type="dcterms:W3CDTF">2019-02-06T22:03:00Z</dcterms:modified>
</cp:coreProperties>
</file>