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54684" w14:textId="77777777" w:rsidR="00E73DC2" w:rsidRPr="00DC0849" w:rsidRDefault="00E73DC2" w:rsidP="00E73DC2">
      <w:pPr>
        <w:jc w:val="center"/>
        <w:rPr>
          <w:rFonts w:ascii="Gentium Basic" w:hAnsi="Gentium Basic" w:cstheme="minorHAnsi"/>
          <w:b/>
        </w:rPr>
      </w:pPr>
    </w:p>
    <w:p w14:paraId="7A7F36C0" w14:textId="77777777" w:rsidR="00E73DC2" w:rsidRPr="00DC667E" w:rsidRDefault="00E73DC2" w:rsidP="00E73DC2">
      <w:pPr>
        <w:jc w:val="center"/>
        <w:rPr>
          <w:rFonts w:ascii="Gentium Basic" w:hAnsi="Gentium Basic" w:cstheme="minorHAnsi"/>
          <w:b/>
          <w:sz w:val="30"/>
          <w:szCs w:val="30"/>
        </w:rPr>
      </w:pPr>
      <w:r w:rsidRPr="00DC667E">
        <w:rPr>
          <w:rFonts w:ascii="Gentium Basic" w:hAnsi="Gentium Basic" w:cstheme="minorHAnsi"/>
          <w:b/>
          <w:sz w:val="30"/>
          <w:szCs w:val="30"/>
        </w:rPr>
        <w:t>POLICY FOR USE OF TOWN LANDS AND FACILITIES</w:t>
      </w:r>
    </w:p>
    <w:p w14:paraId="7D646D3D" w14:textId="77777777" w:rsidR="00E73DC2" w:rsidRPr="00DC0849" w:rsidRDefault="00E73DC2" w:rsidP="00E73DC2">
      <w:pPr>
        <w:rPr>
          <w:rFonts w:ascii="Gentium Basic" w:hAnsi="Gentium Basic" w:cstheme="minorHAnsi"/>
        </w:rPr>
      </w:pPr>
    </w:p>
    <w:p w14:paraId="10BFC95B" w14:textId="77777777" w:rsidR="00E73DC2" w:rsidRPr="00DC0849" w:rsidRDefault="00E73DC2" w:rsidP="00E73DC2">
      <w:pPr>
        <w:rPr>
          <w:rFonts w:ascii="Gentium Basic" w:hAnsi="Gentium Basic" w:cstheme="minorHAnsi"/>
        </w:rPr>
      </w:pPr>
      <w:r w:rsidRPr="00DC0849">
        <w:rPr>
          <w:rFonts w:ascii="Gentium Basic" w:hAnsi="Gentium Basic" w:cstheme="minorHAnsi"/>
        </w:rPr>
        <w:t xml:space="preserve">Town property may be used for recreation and education by residents, tax payers, and other community citizens and non-profits as well as by groups including (but not limited to) summer camps, churches, hiking clubs, scout groups and other youth organizations.  </w:t>
      </w:r>
    </w:p>
    <w:p w14:paraId="289C55D7" w14:textId="77777777" w:rsidR="00E73DC2" w:rsidRPr="00DC0849" w:rsidRDefault="00E73DC2" w:rsidP="00E73DC2">
      <w:pPr>
        <w:rPr>
          <w:rFonts w:ascii="Gentium Basic" w:hAnsi="Gentium Basic" w:cstheme="minorHAnsi"/>
        </w:rPr>
      </w:pPr>
    </w:p>
    <w:p w14:paraId="1095F246" w14:textId="77777777" w:rsidR="00E73DC2" w:rsidRPr="00DC0849" w:rsidRDefault="00E73DC2" w:rsidP="00E73DC2">
      <w:pPr>
        <w:rPr>
          <w:rFonts w:ascii="Gentium Basic" w:hAnsi="Gentium Basic" w:cstheme="minorHAnsi"/>
        </w:rPr>
      </w:pPr>
      <w:r w:rsidRPr="00DC0849">
        <w:rPr>
          <w:rFonts w:ascii="Gentium Basic" w:hAnsi="Gentium Basic" w:cstheme="minorHAnsi"/>
        </w:rPr>
        <w:t xml:space="preserve">In order to decrease the impacts on Town facilities and land, and to ensure that all groups understand and use the facilities safely and with the least impact on and expense to the town, users must receive permission from the Select Board and adhere to all safety and use requirements.  </w:t>
      </w:r>
    </w:p>
    <w:p w14:paraId="637C20BF" w14:textId="77777777" w:rsidR="00E73DC2" w:rsidRPr="00DC0849" w:rsidRDefault="00E73DC2" w:rsidP="00E73DC2">
      <w:pPr>
        <w:tabs>
          <w:tab w:val="left" w:pos="2400"/>
        </w:tabs>
        <w:rPr>
          <w:rFonts w:ascii="Gentium Basic" w:hAnsi="Gentium Basic" w:cstheme="minorHAnsi"/>
        </w:rPr>
      </w:pPr>
      <w:r>
        <w:rPr>
          <w:rFonts w:ascii="Gentium Basic" w:hAnsi="Gentium Basic" w:cstheme="minorHAnsi"/>
        </w:rPr>
        <w:tab/>
      </w:r>
    </w:p>
    <w:p w14:paraId="2C013DDE" w14:textId="77777777" w:rsidR="00E73DC2" w:rsidRPr="00DC0849" w:rsidRDefault="00E73DC2" w:rsidP="00E73DC2">
      <w:pPr>
        <w:numPr>
          <w:ilvl w:val="0"/>
          <w:numId w:val="1"/>
        </w:numPr>
        <w:rPr>
          <w:rFonts w:ascii="Gentium Basic" w:hAnsi="Gentium Basic" w:cstheme="minorHAnsi"/>
        </w:rPr>
      </w:pPr>
      <w:r w:rsidRPr="00DC0849">
        <w:rPr>
          <w:rFonts w:ascii="Gentium Basic" w:hAnsi="Gentium Basic" w:cstheme="minorHAnsi"/>
        </w:rPr>
        <w:t>A permit application may be obtained from the Town Office and must be completed and given to the Select Board for approval or denial before any use.</w:t>
      </w:r>
    </w:p>
    <w:p w14:paraId="46AF3880" w14:textId="77777777" w:rsidR="00E73DC2" w:rsidRPr="00DC0849" w:rsidRDefault="00E73DC2" w:rsidP="00E73DC2">
      <w:pPr>
        <w:numPr>
          <w:ilvl w:val="0"/>
          <w:numId w:val="1"/>
        </w:numPr>
        <w:rPr>
          <w:rFonts w:ascii="Gentium Basic" w:hAnsi="Gentium Basic" w:cstheme="minorHAnsi"/>
        </w:rPr>
      </w:pPr>
      <w:r w:rsidRPr="00DC0849">
        <w:rPr>
          <w:rFonts w:ascii="Gentium Basic" w:hAnsi="Gentium Basic" w:cstheme="minorHAnsi"/>
        </w:rPr>
        <w:t xml:space="preserve">Applications must be received </w:t>
      </w:r>
      <w:r w:rsidRPr="00100D38">
        <w:rPr>
          <w:rFonts w:ascii="Gentium Basic" w:hAnsi="Gentium Basic" w:cstheme="minorHAnsi"/>
          <w:u w:val="single"/>
        </w:rPr>
        <w:t>10 days prior</w:t>
      </w:r>
      <w:r w:rsidRPr="00DC0849">
        <w:rPr>
          <w:rFonts w:ascii="Gentium Basic" w:hAnsi="Gentium Basic" w:cstheme="minorHAnsi"/>
        </w:rPr>
        <w:t xml:space="preserve"> to the scheduled event.</w:t>
      </w:r>
    </w:p>
    <w:p w14:paraId="4B1771F2" w14:textId="77777777" w:rsidR="00E73DC2" w:rsidRPr="00DC0849" w:rsidRDefault="00E73DC2" w:rsidP="00E73DC2">
      <w:pPr>
        <w:numPr>
          <w:ilvl w:val="0"/>
          <w:numId w:val="1"/>
        </w:numPr>
        <w:rPr>
          <w:rFonts w:ascii="Gentium Basic" w:hAnsi="Gentium Basic" w:cstheme="minorHAnsi"/>
        </w:rPr>
      </w:pPr>
      <w:r w:rsidRPr="00DC0849">
        <w:rPr>
          <w:rFonts w:ascii="Gentium Basic" w:hAnsi="Gentium Basic" w:cstheme="minorHAnsi"/>
        </w:rPr>
        <w:t>The Select Board may approve, approve with conditions or deny applications considering Town needs and the best interest of the Town.</w:t>
      </w:r>
    </w:p>
    <w:p w14:paraId="5D7B3CE2" w14:textId="66528F84" w:rsidR="00E73DC2" w:rsidRDefault="00E73DC2" w:rsidP="00E73DC2">
      <w:pPr>
        <w:numPr>
          <w:ilvl w:val="0"/>
          <w:numId w:val="1"/>
        </w:numPr>
        <w:rPr>
          <w:rFonts w:ascii="Gentium Basic" w:hAnsi="Gentium Basic" w:cstheme="minorHAnsi"/>
        </w:rPr>
      </w:pPr>
      <w:r w:rsidRPr="00DC0849">
        <w:rPr>
          <w:rFonts w:ascii="Gentium Basic" w:hAnsi="Gentium Basic" w:cstheme="minorHAnsi"/>
        </w:rPr>
        <w:t>The Select Board require</w:t>
      </w:r>
      <w:r>
        <w:rPr>
          <w:rFonts w:ascii="Gentium Basic" w:hAnsi="Gentium Basic" w:cstheme="minorHAnsi"/>
        </w:rPr>
        <w:t>s</w:t>
      </w:r>
      <w:r w:rsidRPr="00DC0849">
        <w:rPr>
          <w:rFonts w:ascii="Gentium Basic" w:hAnsi="Gentium Basic" w:cstheme="minorHAnsi"/>
        </w:rPr>
        <w:t xml:space="preserve"> adequate insurance as provided below before a</w:t>
      </w:r>
      <w:r w:rsidR="00B82045">
        <w:rPr>
          <w:rFonts w:ascii="Gentium Basic" w:hAnsi="Gentium Basic" w:cstheme="minorHAnsi"/>
        </w:rPr>
        <w:t>n application is approved.</w:t>
      </w:r>
    </w:p>
    <w:p w14:paraId="2D6F7AA0" w14:textId="56C256A6" w:rsidR="000B606E" w:rsidRPr="00D65126" w:rsidRDefault="000B606E" w:rsidP="000B606E">
      <w:pPr>
        <w:numPr>
          <w:ilvl w:val="0"/>
          <w:numId w:val="1"/>
        </w:numPr>
        <w:spacing w:line="220" w:lineRule="auto"/>
        <w:jc w:val="both"/>
        <w:rPr>
          <w:rFonts w:eastAsia="Calibri"/>
          <w:color w:val="000000" w:themeColor="text1"/>
          <w:szCs w:val="22"/>
          <w:lang w:bidi="ar-SA"/>
        </w:rPr>
      </w:pPr>
      <w:r w:rsidRPr="00D65126">
        <w:rPr>
          <w:color w:val="000000" w:themeColor="text1"/>
        </w:rPr>
        <w:t>The Select Board reserves the right to adjust or waive posted fees or impose additional fees in the best interest of the Town.</w:t>
      </w:r>
    </w:p>
    <w:p w14:paraId="5BDBA07D" w14:textId="77777777" w:rsidR="00E73DC2" w:rsidRPr="00DC0849" w:rsidRDefault="00E73DC2" w:rsidP="00E73DC2">
      <w:pPr>
        <w:rPr>
          <w:rFonts w:ascii="Gentium Basic" w:hAnsi="Gentium Basic" w:cstheme="minorHAnsi"/>
        </w:rPr>
      </w:pPr>
    </w:p>
    <w:p w14:paraId="13A8B4F4" w14:textId="77777777" w:rsidR="00E73DC2" w:rsidRPr="00DC667E" w:rsidRDefault="00E73DC2" w:rsidP="00E73DC2">
      <w:pPr>
        <w:rPr>
          <w:rFonts w:ascii="Gentium Basic" w:hAnsi="Gentium Basic" w:cstheme="minorHAnsi"/>
          <w:b/>
          <w:bCs/>
        </w:rPr>
      </w:pPr>
      <w:r w:rsidRPr="00DC667E">
        <w:rPr>
          <w:rFonts w:ascii="Gentium Basic" w:hAnsi="Gentium Basic" w:cstheme="minorHAnsi"/>
          <w:b/>
          <w:bCs/>
        </w:rPr>
        <w:t>INSURANCE REQUIREMENTS:</w:t>
      </w:r>
    </w:p>
    <w:p w14:paraId="4A32AA70" w14:textId="77777777" w:rsidR="00E73DC2" w:rsidRPr="00DC0849" w:rsidRDefault="00E73DC2" w:rsidP="00E73DC2">
      <w:pPr>
        <w:rPr>
          <w:rFonts w:ascii="Gentium Basic" w:hAnsi="Gentium Basic" w:cstheme="minorHAnsi"/>
        </w:rPr>
      </w:pPr>
    </w:p>
    <w:p w14:paraId="14C17490" w14:textId="77777777" w:rsidR="00E73DC2" w:rsidRPr="00DC0849" w:rsidRDefault="00E73DC2" w:rsidP="00E73DC2">
      <w:pPr>
        <w:numPr>
          <w:ilvl w:val="0"/>
          <w:numId w:val="2"/>
        </w:numPr>
        <w:rPr>
          <w:rFonts w:ascii="Gentium Basic" w:hAnsi="Gentium Basic" w:cstheme="minorHAnsi"/>
        </w:rPr>
      </w:pPr>
      <w:r w:rsidRPr="00DC0849">
        <w:rPr>
          <w:rFonts w:ascii="Gentium Basic" w:hAnsi="Gentium Basic" w:cstheme="minorHAnsi"/>
        </w:rPr>
        <w:t>Applicant must have public liability insurance covering a minimum of $25,000 for property damage, minimum $400,000 for injury to one individual and $400,000 for injury to more than one individual.</w:t>
      </w:r>
      <w:r>
        <w:rPr>
          <w:rFonts w:ascii="Gentium Basic" w:hAnsi="Gentium Basic" w:cstheme="minorHAnsi"/>
        </w:rPr>
        <w:t xml:space="preserve"> Your homeowner’s insurance may be sufficient to cover this requirement.</w:t>
      </w:r>
    </w:p>
    <w:p w14:paraId="5CA1850A" w14:textId="77777777" w:rsidR="00E73DC2" w:rsidRPr="00DC0849" w:rsidRDefault="00E73DC2" w:rsidP="00E73DC2">
      <w:pPr>
        <w:rPr>
          <w:rFonts w:ascii="Gentium Basic" w:hAnsi="Gentium Basic" w:cstheme="minorHAnsi"/>
        </w:rPr>
      </w:pPr>
    </w:p>
    <w:p w14:paraId="3B79AA79" w14:textId="77777777" w:rsidR="00E73DC2" w:rsidRPr="00DC0849" w:rsidRDefault="00E73DC2" w:rsidP="00E73DC2">
      <w:pPr>
        <w:numPr>
          <w:ilvl w:val="0"/>
          <w:numId w:val="2"/>
        </w:numPr>
        <w:rPr>
          <w:rFonts w:ascii="Gentium Basic" w:hAnsi="Gentium Basic" w:cstheme="minorHAnsi"/>
        </w:rPr>
      </w:pPr>
      <w:r w:rsidRPr="00DC0849">
        <w:rPr>
          <w:rFonts w:ascii="Gentium Basic" w:hAnsi="Gentium Basic" w:cstheme="minorHAnsi"/>
        </w:rPr>
        <w:t>The Town of Porter must be listed as additionally insured.</w:t>
      </w:r>
    </w:p>
    <w:p w14:paraId="458DB5A1" w14:textId="77777777" w:rsidR="00E73DC2" w:rsidRPr="00DC0849" w:rsidRDefault="00E73DC2" w:rsidP="00E73DC2">
      <w:pPr>
        <w:rPr>
          <w:rFonts w:ascii="Gentium Basic" w:hAnsi="Gentium Basic" w:cstheme="minorHAnsi"/>
        </w:rPr>
      </w:pPr>
    </w:p>
    <w:p w14:paraId="687DBAE0" w14:textId="77777777" w:rsidR="00E73DC2" w:rsidRPr="00DC0849" w:rsidRDefault="00E73DC2" w:rsidP="00E73DC2">
      <w:pPr>
        <w:numPr>
          <w:ilvl w:val="0"/>
          <w:numId w:val="2"/>
        </w:numPr>
        <w:rPr>
          <w:rFonts w:ascii="Gentium Basic" w:hAnsi="Gentium Basic" w:cstheme="minorHAnsi"/>
        </w:rPr>
      </w:pPr>
      <w:r w:rsidRPr="00DC0849">
        <w:rPr>
          <w:rFonts w:ascii="Gentium Basic" w:hAnsi="Gentium Basic" w:cstheme="minorHAnsi"/>
        </w:rPr>
        <w:t xml:space="preserve">The insurance must cover the activity described in the application.  </w:t>
      </w:r>
    </w:p>
    <w:p w14:paraId="3A7717F7" w14:textId="77777777" w:rsidR="00E73DC2" w:rsidRPr="00DC0849" w:rsidRDefault="00E73DC2" w:rsidP="00E73DC2">
      <w:pPr>
        <w:pStyle w:val="ListParagraph"/>
        <w:rPr>
          <w:rFonts w:ascii="Gentium Basic" w:hAnsi="Gentium Basic" w:cstheme="minorHAnsi"/>
        </w:rPr>
      </w:pPr>
    </w:p>
    <w:p w14:paraId="05DF2A7D" w14:textId="77777777" w:rsidR="00E73DC2" w:rsidRPr="00DC0849" w:rsidRDefault="00E73DC2" w:rsidP="00E73DC2">
      <w:pPr>
        <w:numPr>
          <w:ilvl w:val="0"/>
          <w:numId w:val="2"/>
        </w:numPr>
        <w:rPr>
          <w:rFonts w:ascii="Gentium Basic" w:hAnsi="Gentium Basic" w:cstheme="minorHAnsi"/>
        </w:rPr>
      </w:pPr>
      <w:r w:rsidRPr="00DC0849">
        <w:rPr>
          <w:rFonts w:ascii="Gentium Basic" w:hAnsi="Gentium Basic" w:cstheme="minorHAnsi"/>
        </w:rPr>
        <w:t xml:space="preserve">The insurance company must send a written notice to the Town of Porter at least 30 days before any changes in or cancellation of the </w:t>
      </w:r>
      <w:r>
        <w:rPr>
          <w:rFonts w:ascii="Gentium Basic" w:hAnsi="Gentium Basic" w:cstheme="minorHAnsi"/>
        </w:rPr>
        <w:t>policy</w:t>
      </w:r>
      <w:r w:rsidRPr="00DC0849">
        <w:rPr>
          <w:rFonts w:ascii="Gentium Basic" w:hAnsi="Gentium Basic" w:cstheme="minorHAnsi"/>
        </w:rPr>
        <w:t>.</w:t>
      </w:r>
    </w:p>
    <w:p w14:paraId="5D6DA306" w14:textId="77777777" w:rsidR="00E73DC2" w:rsidRPr="00DC0849" w:rsidRDefault="00E73DC2" w:rsidP="00E73DC2">
      <w:pPr>
        <w:pStyle w:val="ListParagraph"/>
        <w:rPr>
          <w:rFonts w:ascii="Gentium Basic" w:hAnsi="Gentium Basic" w:cstheme="minorHAnsi"/>
        </w:rPr>
      </w:pPr>
    </w:p>
    <w:p w14:paraId="5213FE10" w14:textId="7CD9CE18" w:rsidR="00E73DC2" w:rsidRPr="00DC0849" w:rsidRDefault="00E73DC2" w:rsidP="00E73DC2">
      <w:pPr>
        <w:numPr>
          <w:ilvl w:val="0"/>
          <w:numId w:val="2"/>
        </w:numPr>
        <w:rPr>
          <w:rFonts w:ascii="Gentium Basic" w:hAnsi="Gentium Basic" w:cstheme="minorHAnsi"/>
        </w:rPr>
      </w:pPr>
      <w:r w:rsidRPr="00DC0849">
        <w:rPr>
          <w:rFonts w:ascii="Gentium Basic" w:hAnsi="Gentium Basic" w:cstheme="minorHAnsi"/>
        </w:rPr>
        <w:t>A copy of the insurance certificate with the Town listed as “Additionally Insured” must be on file in the Town office before a</w:t>
      </w:r>
      <w:r w:rsidR="00B82045">
        <w:rPr>
          <w:rFonts w:ascii="Gentium Basic" w:hAnsi="Gentium Basic" w:cstheme="minorHAnsi"/>
        </w:rPr>
        <w:t>n application is approved.</w:t>
      </w:r>
    </w:p>
    <w:p w14:paraId="64068054" w14:textId="77777777" w:rsidR="00E73DC2" w:rsidRPr="00DC0849" w:rsidRDefault="00E73DC2" w:rsidP="00E73DC2">
      <w:pPr>
        <w:pStyle w:val="ListParagraph"/>
        <w:rPr>
          <w:rFonts w:ascii="Gentium Basic" w:hAnsi="Gentium Basic" w:cstheme="minorHAnsi"/>
        </w:rPr>
      </w:pPr>
    </w:p>
    <w:p w14:paraId="68761285" w14:textId="77777777" w:rsidR="00E73DC2" w:rsidRPr="00DC0849" w:rsidRDefault="00E73DC2" w:rsidP="00E73DC2">
      <w:pPr>
        <w:numPr>
          <w:ilvl w:val="0"/>
          <w:numId w:val="2"/>
        </w:numPr>
        <w:rPr>
          <w:rFonts w:ascii="Gentium Basic" w:hAnsi="Gentium Basic" w:cstheme="minorHAnsi"/>
        </w:rPr>
      </w:pPr>
      <w:r w:rsidRPr="00DC0849">
        <w:rPr>
          <w:rFonts w:ascii="Gentium Basic" w:hAnsi="Gentium Basic" w:cstheme="minorHAnsi"/>
        </w:rPr>
        <w:t>Other requirements may be added as deemed necessary by the Select Board.</w:t>
      </w:r>
    </w:p>
    <w:p w14:paraId="14B169C3" w14:textId="77777777" w:rsidR="00E73DC2" w:rsidRPr="00335596" w:rsidRDefault="00CD7FF7" w:rsidP="003821A0">
      <w:pPr>
        <w:spacing w:after="160" w:line="259" w:lineRule="auto"/>
        <w:jc w:val="center"/>
        <w:rPr>
          <w:rFonts w:ascii="Gentium Basic" w:hAnsi="Gentium Basic" w:cstheme="minorHAnsi"/>
          <w:b/>
          <w:sz w:val="30"/>
          <w:szCs w:val="30"/>
        </w:rPr>
      </w:pPr>
      <w:r>
        <w:rPr>
          <w:rFonts w:ascii="Gentium Basic" w:hAnsi="Gentium Basic" w:cstheme="minorHAnsi"/>
          <w:b/>
          <w:sz w:val="30"/>
          <w:szCs w:val="30"/>
        </w:rPr>
        <w:br w:type="page"/>
      </w:r>
      <w:r>
        <w:rPr>
          <w:rFonts w:ascii="Gentium Basic" w:hAnsi="Gentium Basic" w:cstheme="minorHAnsi"/>
          <w:b/>
          <w:sz w:val="30"/>
          <w:szCs w:val="30"/>
        </w:rPr>
        <w:lastRenderedPageBreak/>
        <w:t>S</w:t>
      </w:r>
      <w:r w:rsidR="00E73DC2" w:rsidRPr="00335596">
        <w:rPr>
          <w:rFonts w:ascii="Gentium Basic" w:hAnsi="Gentium Basic" w:cstheme="minorHAnsi"/>
          <w:b/>
          <w:sz w:val="30"/>
          <w:szCs w:val="30"/>
        </w:rPr>
        <w:t>AFETY AND USE REQUIREMENTS</w:t>
      </w:r>
    </w:p>
    <w:p w14:paraId="75331176" w14:textId="77777777" w:rsidR="00E73DC2" w:rsidRDefault="00E73DC2" w:rsidP="00E73DC2">
      <w:pPr>
        <w:rPr>
          <w:rFonts w:ascii="Gentium Basic" w:hAnsi="Gentium Basic" w:cstheme="minorHAnsi"/>
        </w:rPr>
      </w:pPr>
    </w:p>
    <w:p w14:paraId="4331E1D7" w14:textId="77777777" w:rsidR="001400A5" w:rsidRPr="00DC0849" w:rsidRDefault="001400A5" w:rsidP="00E73DC2">
      <w:pPr>
        <w:rPr>
          <w:rFonts w:ascii="Gentium Basic" w:hAnsi="Gentium Basic" w:cstheme="minorHAnsi"/>
        </w:rPr>
      </w:pPr>
    </w:p>
    <w:p w14:paraId="6BB1C640" w14:textId="77777777" w:rsidR="00E73DC2" w:rsidRPr="00DC0849" w:rsidRDefault="00E73DC2" w:rsidP="00E73DC2">
      <w:pPr>
        <w:rPr>
          <w:rFonts w:ascii="Gentium Basic" w:hAnsi="Gentium Basic" w:cstheme="minorHAnsi"/>
        </w:rPr>
      </w:pPr>
      <w:r w:rsidRPr="00DC0849">
        <w:rPr>
          <w:rFonts w:ascii="Gentium Basic" w:hAnsi="Gentium Basic" w:cstheme="minorHAnsi"/>
        </w:rPr>
        <w:t>Alcohol, drug and tobacco use in any form are expressly prohibited on or in any Town property.</w:t>
      </w:r>
    </w:p>
    <w:p w14:paraId="1E0F7A97" w14:textId="77777777" w:rsidR="00E73DC2" w:rsidRPr="00DC0849" w:rsidRDefault="00E73DC2" w:rsidP="00E73DC2">
      <w:pPr>
        <w:rPr>
          <w:rFonts w:ascii="Gentium Basic" w:hAnsi="Gentium Basic" w:cstheme="minorHAnsi"/>
        </w:rPr>
      </w:pPr>
    </w:p>
    <w:p w14:paraId="52DEB7B7" w14:textId="77777777" w:rsidR="00E73DC2" w:rsidRPr="00DC0849" w:rsidRDefault="00E73DC2" w:rsidP="00E73DC2">
      <w:pPr>
        <w:rPr>
          <w:rFonts w:ascii="Gentium Basic" w:hAnsi="Gentium Basic" w:cstheme="minorHAnsi"/>
        </w:rPr>
      </w:pPr>
      <w:r w:rsidRPr="00DC0849">
        <w:rPr>
          <w:rFonts w:ascii="Gentium Basic" w:hAnsi="Gentium Basic" w:cstheme="minorHAnsi"/>
        </w:rPr>
        <w:t>Uses in violation of any Federal, State or local ordinance or law are prohibited.</w:t>
      </w:r>
    </w:p>
    <w:p w14:paraId="453ABE8C" w14:textId="77777777" w:rsidR="00E73DC2" w:rsidRDefault="00E73DC2" w:rsidP="00E73DC2">
      <w:pPr>
        <w:rPr>
          <w:rFonts w:ascii="Gentium Basic" w:hAnsi="Gentium Basic" w:cstheme="minorHAnsi"/>
        </w:rPr>
      </w:pPr>
    </w:p>
    <w:p w14:paraId="79ACDD3E" w14:textId="2BCF66C9" w:rsidR="00E73DC2" w:rsidRDefault="00E73DC2" w:rsidP="00E73DC2">
      <w:pPr>
        <w:rPr>
          <w:rFonts w:ascii="Gentium Basic" w:hAnsi="Gentium Basic" w:cstheme="minorHAnsi"/>
        </w:rPr>
      </w:pPr>
      <w:r>
        <w:rPr>
          <w:rFonts w:ascii="Gentium Basic" w:hAnsi="Gentium Basic" w:cstheme="minorHAnsi"/>
        </w:rPr>
        <w:t xml:space="preserve">For any applicants applying for </w:t>
      </w:r>
      <w:r w:rsidR="003E2336">
        <w:rPr>
          <w:rFonts w:ascii="Gentium Basic" w:hAnsi="Gentium Basic" w:cstheme="minorHAnsi"/>
        </w:rPr>
        <w:t>recurring</w:t>
      </w:r>
      <w:r>
        <w:rPr>
          <w:rFonts w:ascii="Gentium Basic" w:hAnsi="Gentium Basic" w:cstheme="minorHAnsi"/>
        </w:rPr>
        <w:t xml:space="preserve"> use of the facility, a new application will need to be completed at the start of each year</w:t>
      </w:r>
      <w:r w:rsidR="007A30AA">
        <w:rPr>
          <w:rFonts w:ascii="Gentium Basic" w:hAnsi="Gentium Basic" w:cstheme="minorHAnsi"/>
        </w:rPr>
        <w:t>.</w:t>
      </w:r>
    </w:p>
    <w:p w14:paraId="77B0924D" w14:textId="77777777" w:rsidR="00E73DC2" w:rsidRDefault="00E73DC2" w:rsidP="00E73DC2">
      <w:pPr>
        <w:rPr>
          <w:rFonts w:ascii="Gentium Basic" w:hAnsi="Gentium Basic" w:cstheme="minorHAnsi"/>
        </w:rPr>
      </w:pPr>
    </w:p>
    <w:p w14:paraId="4BE97AB3" w14:textId="69E0A7EF" w:rsidR="00E73DC2" w:rsidRDefault="00E73DC2" w:rsidP="00E73DC2">
      <w:pPr>
        <w:rPr>
          <w:rFonts w:ascii="Gentium Basic" w:hAnsi="Gentium Basic" w:cstheme="minorHAnsi"/>
        </w:rPr>
      </w:pPr>
      <w:r>
        <w:rPr>
          <w:rFonts w:ascii="Gentium Basic" w:hAnsi="Gentium Basic" w:cstheme="minorHAnsi"/>
        </w:rPr>
        <w:t xml:space="preserve">All fees related to the rental of space are outlined in the application.  </w:t>
      </w:r>
      <w:r w:rsidR="00B82045">
        <w:rPr>
          <w:rFonts w:ascii="Gentium Basic" w:hAnsi="Gentium Basic" w:cstheme="minorHAnsi"/>
        </w:rPr>
        <w:t xml:space="preserve">In order to qualify for non-profit pricing, the organization must be a registered non-profit.  </w:t>
      </w:r>
      <w:r w:rsidR="00E74FE2">
        <w:rPr>
          <w:rFonts w:ascii="Gentium Basic" w:hAnsi="Gentium Basic" w:cstheme="minorHAnsi"/>
        </w:rPr>
        <w:t xml:space="preserve">This can be verified through the State at the following address: </w:t>
      </w:r>
      <w:r w:rsidR="00E74FE2" w:rsidRPr="00E74FE2">
        <w:rPr>
          <w:rFonts w:ascii="Gentium Basic" w:hAnsi="Gentium Basic" w:cstheme="minorHAnsi"/>
        </w:rPr>
        <w:t>https://icrs.informe.org/nei-sos-icrs/ICRS?MainPage=x</w:t>
      </w:r>
    </w:p>
    <w:p w14:paraId="57150010" w14:textId="77777777" w:rsidR="00E73DC2" w:rsidRDefault="00E73DC2" w:rsidP="00E73DC2">
      <w:pPr>
        <w:rPr>
          <w:rFonts w:ascii="Gentium Basic" w:hAnsi="Gentium Basic" w:cstheme="minorHAnsi"/>
        </w:rPr>
      </w:pPr>
    </w:p>
    <w:p w14:paraId="5BB05A40" w14:textId="77777777" w:rsidR="00E73DC2" w:rsidRPr="00DC0849" w:rsidRDefault="00E73DC2" w:rsidP="00E73DC2">
      <w:pPr>
        <w:rPr>
          <w:rFonts w:ascii="Gentium Basic" w:hAnsi="Gentium Basic" w:cstheme="minorHAnsi"/>
        </w:rPr>
      </w:pPr>
      <w:r w:rsidRPr="00DC0849">
        <w:rPr>
          <w:rFonts w:ascii="Gentium Basic" w:hAnsi="Gentium Basic" w:cstheme="minorHAnsi"/>
        </w:rPr>
        <w:t>Key Policy, including deposit, will be adhered to for any use requiring access to a building or other secured facility.</w:t>
      </w:r>
    </w:p>
    <w:p w14:paraId="17832D6F" w14:textId="77777777" w:rsidR="00E73DC2" w:rsidRPr="00DC0849" w:rsidRDefault="00E73DC2" w:rsidP="00E73DC2">
      <w:pPr>
        <w:rPr>
          <w:rFonts w:ascii="Gentium Basic" w:hAnsi="Gentium Basic" w:cstheme="minorHAnsi"/>
        </w:rPr>
      </w:pPr>
    </w:p>
    <w:p w14:paraId="1E72A92F" w14:textId="0733E9B0" w:rsidR="00E73DC2" w:rsidRPr="00DC0849" w:rsidRDefault="00E73DC2" w:rsidP="00E73DC2">
      <w:pPr>
        <w:rPr>
          <w:rFonts w:ascii="Gentium Basic" w:hAnsi="Gentium Basic" w:cstheme="minorHAnsi"/>
        </w:rPr>
      </w:pPr>
      <w:r w:rsidRPr="00DC0849">
        <w:rPr>
          <w:rFonts w:ascii="Gentium Basic" w:hAnsi="Gentium Basic" w:cstheme="minorHAnsi"/>
        </w:rPr>
        <w:t xml:space="preserve">Any facility used must be left in the same condition found prior to use.  If a facility is not cleaned or restored to conditions prior to use, the </w:t>
      </w:r>
      <w:r w:rsidR="00B82045">
        <w:rPr>
          <w:rFonts w:ascii="Gentium Basic" w:hAnsi="Gentium Basic" w:cstheme="minorHAnsi"/>
        </w:rPr>
        <w:t>Key Fee will not be refunded in order to cover the expenses for cleaning the room.</w:t>
      </w:r>
      <w:r w:rsidRPr="00DC0849">
        <w:rPr>
          <w:rFonts w:ascii="Gentium Basic" w:hAnsi="Gentium Basic" w:cstheme="minorHAnsi"/>
        </w:rPr>
        <w:t xml:space="preserve">  Continu</w:t>
      </w:r>
      <w:r>
        <w:rPr>
          <w:rFonts w:ascii="Gentium Basic" w:hAnsi="Gentium Basic" w:cstheme="minorHAnsi"/>
        </w:rPr>
        <w:t>ed</w:t>
      </w:r>
      <w:r w:rsidRPr="00DC0849">
        <w:rPr>
          <w:rFonts w:ascii="Gentium Basic" w:hAnsi="Gentium Basic" w:cstheme="minorHAnsi"/>
        </w:rPr>
        <w:t xml:space="preserve"> failure to clean or restore to pre-use condition or ongoing neglect of facilities will result in denial of use.</w:t>
      </w:r>
    </w:p>
    <w:p w14:paraId="2FD129D8" w14:textId="77777777" w:rsidR="00E73DC2" w:rsidRPr="00DC0849" w:rsidRDefault="00E73DC2" w:rsidP="00E73DC2">
      <w:pPr>
        <w:rPr>
          <w:rFonts w:ascii="Gentium Basic" w:hAnsi="Gentium Basic" w:cstheme="minorHAnsi"/>
        </w:rPr>
      </w:pPr>
    </w:p>
    <w:p w14:paraId="063F1F09" w14:textId="77777777" w:rsidR="00E73DC2" w:rsidRPr="00DC0849" w:rsidRDefault="00E73DC2" w:rsidP="00E73DC2">
      <w:pPr>
        <w:rPr>
          <w:rFonts w:ascii="Gentium Basic" w:hAnsi="Gentium Basic" w:cstheme="minorHAnsi"/>
        </w:rPr>
      </w:pPr>
      <w:r w:rsidRPr="00DC0849">
        <w:rPr>
          <w:rFonts w:ascii="Gentium Basic" w:hAnsi="Gentium Basic" w:cstheme="minorHAnsi"/>
        </w:rPr>
        <w:t>Groups including adult and minors using Town facilities must have liability insurance as outlined in the Insurance Requirements.</w:t>
      </w:r>
    </w:p>
    <w:p w14:paraId="3E964E66" w14:textId="77777777" w:rsidR="00E73DC2" w:rsidRPr="00DC0849" w:rsidRDefault="00E73DC2" w:rsidP="00E73DC2">
      <w:pPr>
        <w:rPr>
          <w:rFonts w:ascii="Gentium Basic" w:hAnsi="Gentium Basic" w:cstheme="minorHAnsi"/>
        </w:rPr>
      </w:pPr>
    </w:p>
    <w:p w14:paraId="274A6663" w14:textId="77777777" w:rsidR="00E73DC2" w:rsidRPr="00DC0849" w:rsidRDefault="00E73DC2" w:rsidP="00E73DC2">
      <w:pPr>
        <w:rPr>
          <w:rFonts w:ascii="Gentium Basic" w:hAnsi="Gentium Basic" w:cstheme="minorHAnsi"/>
        </w:rPr>
      </w:pPr>
      <w:r w:rsidRPr="00DC0849">
        <w:rPr>
          <w:rFonts w:ascii="Gentium Basic" w:hAnsi="Gentium Basic" w:cstheme="minorHAnsi"/>
        </w:rPr>
        <w:t>The Select Board or an appointed representative may attend any event or function on or in Town facilities.</w:t>
      </w:r>
    </w:p>
    <w:p w14:paraId="6C46BACE" w14:textId="77777777" w:rsidR="00E53FED" w:rsidRDefault="00E53FED"/>
    <w:sectPr w:rsidR="00E53FED" w:rsidSect="00E73DC2">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7EAA" w14:textId="77777777" w:rsidR="008E73BC" w:rsidRDefault="008E73BC" w:rsidP="00E73DC2">
      <w:r>
        <w:separator/>
      </w:r>
    </w:p>
  </w:endnote>
  <w:endnote w:type="continuationSeparator" w:id="0">
    <w:p w14:paraId="7413A1A1" w14:textId="77777777" w:rsidR="008E73BC" w:rsidRDefault="008E73BC" w:rsidP="00E7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ntium Basic">
    <w:altName w:val="Calibri"/>
    <w:panose1 w:val="02000503060000020004"/>
    <w:charset w:val="00"/>
    <w:family w:val="auto"/>
    <w:pitch w:val="variable"/>
    <w:sig w:usb0="A000007F" w:usb1="5000204A"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8BAF" w14:textId="77777777" w:rsidR="00D65126" w:rsidRDefault="00D65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8E184" w14:textId="3FDE9E30" w:rsidR="00E73DC2" w:rsidRPr="00F355CA" w:rsidRDefault="00E73DC2" w:rsidP="00E73DC2">
    <w:pPr>
      <w:pStyle w:val="Footer"/>
      <w:rPr>
        <w:rFonts w:ascii="Gentium Basic" w:hAnsi="Gentium Basic"/>
        <w:sz w:val="18"/>
        <w:szCs w:val="18"/>
      </w:rPr>
    </w:pPr>
    <w:r>
      <w:rPr>
        <w:rFonts w:ascii="Gentium Basic" w:hAnsi="Gentium Basic"/>
        <w:sz w:val="18"/>
        <w:szCs w:val="18"/>
      </w:rPr>
      <w:t xml:space="preserve">Rev. </w:t>
    </w:r>
    <w:r w:rsidR="00CD7FF7">
      <w:rPr>
        <w:rFonts w:ascii="Gentium Basic" w:hAnsi="Gentium Basic"/>
        <w:sz w:val="18"/>
        <w:szCs w:val="18"/>
      </w:rPr>
      <w:t>03/</w:t>
    </w:r>
    <w:r w:rsidR="00E74FE2">
      <w:rPr>
        <w:rFonts w:ascii="Gentium Basic" w:hAnsi="Gentium Basic"/>
        <w:sz w:val="18"/>
        <w:szCs w:val="18"/>
      </w:rPr>
      <w:t>1</w:t>
    </w:r>
    <w:r w:rsidR="001E6AB0">
      <w:rPr>
        <w:rFonts w:ascii="Gentium Basic" w:hAnsi="Gentium Basic"/>
        <w:sz w:val="18"/>
        <w:szCs w:val="18"/>
      </w:rPr>
      <w:t>5</w:t>
    </w:r>
    <w:r w:rsidR="00CD7FF7">
      <w:rPr>
        <w:rFonts w:ascii="Gentium Basic" w:hAnsi="Gentium Basic"/>
        <w:sz w:val="18"/>
        <w:szCs w:val="18"/>
      </w:rPr>
      <w:t>/20</w:t>
    </w:r>
  </w:p>
  <w:p w14:paraId="4480634A" w14:textId="48122D15" w:rsidR="00E73DC2" w:rsidRPr="000807AB" w:rsidRDefault="00D65126">
    <w:pPr>
      <w:pStyle w:val="Footer"/>
      <w:rPr>
        <w:sz w:val="20"/>
        <w:szCs w:val="20"/>
      </w:rPr>
    </w:pPr>
    <w:bookmarkStart w:id="0" w:name="_GoBack"/>
    <w:r w:rsidRPr="000807AB">
      <w:rPr>
        <w:sz w:val="20"/>
        <w:szCs w:val="20"/>
      </w:rPr>
      <w:t>Rev. 2/15/21</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58D9F" w14:textId="77777777" w:rsidR="00D65126" w:rsidRDefault="00D65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C8EF5" w14:textId="77777777" w:rsidR="008E73BC" w:rsidRDefault="008E73BC" w:rsidP="00E73DC2">
      <w:r>
        <w:separator/>
      </w:r>
    </w:p>
  </w:footnote>
  <w:footnote w:type="continuationSeparator" w:id="0">
    <w:p w14:paraId="5661A930" w14:textId="77777777" w:rsidR="008E73BC" w:rsidRDefault="008E73BC" w:rsidP="00E73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CA1C" w14:textId="77777777" w:rsidR="00D65126" w:rsidRDefault="00D65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3473" w14:textId="77777777" w:rsidR="00EC688B" w:rsidRDefault="00EC688B" w:rsidP="00EC688B">
    <w:pPr>
      <w:tabs>
        <w:tab w:val="center" w:pos="4680"/>
      </w:tabs>
      <w:rPr>
        <w:sz w:val="72"/>
      </w:rPr>
    </w:pPr>
    <w:r w:rsidRPr="006971E3">
      <w:rPr>
        <w:noProof/>
        <w:sz w:val="72"/>
        <w:lang w:bidi="ar-SA"/>
      </w:rPr>
      <w:drawing>
        <wp:anchor distT="0" distB="0" distL="114300" distR="114300" simplePos="0" relativeHeight="251659264" behindDoc="1" locked="0" layoutInCell="1" allowOverlap="0" wp14:anchorId="61F179BB" wp14:editId="07D7D992">
          <wp:simplePos x="0" y="0"/>
          <wp:positionH relativeFrom="page">
            <wp:posOffset>828675</wp:posOffset>
          </wp:positionH>
          <wp:positionV relativeFrom="page">
            <wp:posOffset>447675</wp:posOffset>
          </wp:positionV>
          <wp:extent cx="969264" cy="886968"/>
          <wp:effectExtent l="0" t="0" r="2540" b="8890"/>
          <wp:wrapThrough wrapText="bothSides">
            <wp:wrapPolygon edited="0">
              <wp:start x="0" y="0"/>
              <wp:lineTo x="0" y="21352"/>
              <wp:lineTo x="21232" y="21352"/>
              <wp:lineTo x="21232" y="0"/>
              <wp:lineTo x="0" y="0"/>
            </wp:wrapPolygon>
          </wp:wrapThrough>
          <wp:docPr id="1" name="Picture 5" descr="PorterTownSeal-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erTownSeal-000001"/>
                  <pic:cNvPicPr>
                    <a:picLocks noChangeAspect="1" noChangeArrowheads="1"/>
                  </pic:cNvPicPr>
                </pic:nvPicPr>
                <pic:blipFill>
                  <a:blip r:embed="rId1"/>
                  <a:srcRect/>
                  <a:stretch>
                    <a:fillRect/>
                  </a:stretch>
                </pic:blipFill>
                <pic:spPr bwMode="auto">
                  <a:xfrm>
                    <a:off x="0" y="0"/>
                    <a:ext cx="969264" cy="886968"/>
                  </a:xfrm>
                  <a:prstGeom prst="rect">
                    <a:avLst/>
                  </a:prstGeom>
                  <a:noFill/>
                  <a:ln w="9525">
                    <a:noFill/>
                    <a:miter lim="800000"/>
                    <a:headEnd/>
                    <a:tailEnd/>
                  </a:ln>
                </pic:spPr>
              </pic:pic>
            </a:graphicData>
          </a:graphic>
        </wp:anchor>
      </w:drawing>
    </w:r>
    <w:r>
      <w:rPr>
        <w:sz w:val="72"/>
      </w:rPr>
      <w:t xml:space="preserve"> </w:t>
    </w:r>
    <w:r>
      <w:rPr>
        <w:sz w:val="72"/>
      </w:rPr>
      <w:tab/>
    </w:r>
    <w:r w:rsidRPr="006971E3">
      <w:rPr>
        <w:sz w:val="72"/>
      </w:rPr>
      <w:t>Town of Porter</w:t>
    </w:r>
  </w:p>
  <w:p w14:paraId="756AFB30" w14:textId="77777777" w:rsidR="00EC688B" w:rsidRPr="006971E3" w:rsidRDefault="00707770" w:rsidP="00707770">
    <w:pPr>
      <w:widowControl w:val="0"/>
      <w:tabs>
        <w:tab w:val="center" w:pos="4680"/>
      </w:tabs>
      <w:rPr>
        <w:rFonts w:ascii="Tahoma" w:hAnsi="Tahoma" w:cs="Tahoma"/>
        <w:sz w:val="20"/>
        <w:szCs w:val="20"/>
      </w:rPr>
    </w:pPr>
    <w:r>
      <w:rPr>
        <w:rFonts w:ascii="Tahoma" w:hAnsi="Tahoma" w:cs="Tahoma"/>
        <w:sz w:val="20"/>
        <w:szCs w:val="20"/>
      </w:rPr>
      <w:tab/>
    </w:r>
    <w:r w:rsidR="00EC688B" w:rsidRPr="006971E3">
      <w:rPr>
        <w:rFonts w:ascii="Tahoma" w:hAnsi="Tahoma" w:cs="Tahoma"/>
        <w:sz w:val="20"/>
        <w:szCs w:val="20"/>
      </w:rPr>
      <w:t>71 Main Street · Porter, ME  04068</w:t>
    </w:r>
  </w:p>
  <w:p w14:paraId="2433515B" w14:textId="77777777" w:rsidR="00EC688B" w:rsidRPr="006971E3" w:rsidRDefault="00707770" w:rsidP="00707770">
    <w:pPr>
      <w:widowControl w:val="0"/>
      <w:tabs>
        <w:tab w:val="center" w:pos="4680"/>
      </w:tabs>
      <w:rPr>
        <w:rFonts w:ascii="Tahoma" w:hAnsi="Tahoma" w:cs="Tahoma"/>
        <w:sz w:val="20"/>
        <w:szCs w:val="20"/>
      </w:rPr>
    </w:pPr>
    <w:r>
      <w:rPr>
        <w:rFonts w:ascii="Tahoma" w:hAnsi="Tahoma" w:cs="Tahoma"/>
        <w:sz w:val="20"/>
        <w:szCs w:val="20"/>
      </w:rPr>
      <w:tab/>
    </w:r>
    <w:r w:rsidR="00EC688B" w:rsidRPr="006971E3">
      <w:rPr>
        <w:rFonts w:ascii="Tahoma" w:hAnsi="Tahoma" w:cs="Tahoma"/>
        <w:sz w:val="20"/>
        <w:szCs w:val="20"/>
      </w:rPr>
      <w:t>Phone: (207) 625-8344 · Fax: (207) 625-4120</w:t>
    </w:r>
  </w:p>
  <w:p w14:paraId="5FC4DFB5" w14:textId="77777777" w:rsidR="00EC688B" w:rsidRDefault="00EC688B" w:rsidP="00EC688B">
    <w:pPr>
      <w:pStyle w:val="Header"/>
    </w:pPr>
  </w:p>
  <w:p w14:paraId="1EC6FFD1" w14:textId="77777777" w:rsidR="00EC688B" w:rsidRPr="00EC688B" w:rsidRDefault="00EC688B" w:rsidP="00EC6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C38B" w14:textId="77777777" w:rsidR="00D65126" w:rsidRDefault="00D65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07B94"/>
    <w:multiLevelType w:val="hybridMultilevel"/>
    <w:tmpl w:val="3FD8D294"/>
    <w:lvl w:ilvl="0" w:tplc="FC42179C">
      <w:start w:val="1"/>
      <w:numFmt w:val="bullet"/>
      <w:lvlText w:val="•"/>
      <w:lvlJc w:val="left"/>
      <w:pPr>
        <w:ind w:left="81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2EE8DC68">
      <w:start w:val="1"/>
      <w:numFmt w:val="bullet"/>
      <w:lvlText w:val="o"/>
      <w:lvlJc w:val="left"/>
      <w:pPr>
        <w:ind w:left="147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3B00BC78">
      <w:start w:val="1"/>
      <w:numFmt w:val="bullet"/>
      <w:lvlText w:val="▪"/>
      <w:lvlJc w:val="left"/>
      <w:pPr>
        <w:ind w:left="219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ED8A8E98">
      <w:start w:val="1"/>
      <w:numFmt w:val="bullet"/>
      <w:lvlText w:val="•"/>
      <w:lvlJc w:val="left"/>
      <w:pPr>
        <w:ind w:left="291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D5FA6D6A">
      <w:start w:val="1"/>
      <w:numFmt w:val="bullet"/>
      <w:lvlText w:val="o"/>
      <w:lvlJc w:val="left"/>
      <w:pPr>
        <w:ind w:left="363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ECE0FB7C">
      <w:start w:val="1"/>
      <w:numFmt w:val="bullet"/>
      <w:lvlText w:val="▪"/>
      <w:lvlJc w:val="left"/>
      <w:pPr>
        <w:ind w:left="435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6E32D95A">
      <w:start w:val="1"/>
      <w:numFmt w:val="bullet"/>
      <w:lvlText w:val="•"/>
      <w:lvlJc w:val="left"/>
      <w:pPr>
        <w:ind w:left="507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DDAC9A86">
      <w:start w:val="1"/>
      <w:numFmt w:val="bullet"/>
      <w:lvlText w:val="o"/>
      <w:lvlJc w:val="left"/>
      <w:pPr>
        <w:ind w:left="579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97DA0C56">
      <w:start w:val="1"/>
      <w:numFmt w:val="bullet"/>
      <w:lvlText w:val="▪"/>
      <w:lvlJc w:val="left"/>
      <w:pPr>
        <w:ind w:left="6519"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 w15:restartNumberingAfterBreak="0">
    <w:nsid w:val="37EE5C16"/>
    <w:multiLevelType w:val="hybridMultilevel"/>
    <w:tmpl w:val="FEC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61EC5"/>
    <w:multiLevelType w:val="hybridMultilevel"/>
    <w:tmpl w:val="216CA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C2"/>
    <w:rsid w:val="00032094"/>
    <w:rsid w:val="000807AB"/>
    <w:rsid w:val="000B606E"/>
    <w:rsid w:val="00100D38"/>
    <w:rsid w:val="001400A5"/>
    <w:rsid w:val="001E6AB0"/>
    <w:rsid w:val="002D6E33"/>
    <w:rsid w:val="00351706"/>
    <w:rsid w:val="003821A0"/>
    <w:rsid w:val="003A4F9D"/>
    <w:rsid w:val="003C65A5"/>
    <w:rsid w:val="003E2336"/>
    <w:rsid w:val="005A540E"/>
    <w:rsid w:val="005C23D4"/>
    <w:rsid w:val="00707770"/>
    <w:rsid w:val="00727D1A"/>
    <w:rsid w:val="007A30AA"/>
    <w:rsid w:val="007F2172"/>
    <w:rsid w:val="008E73BC"/>
    <w:rsid w:val="00AF2788"/>
    <w:rsid w:val="00B82045"/>
    <w:rsid w:val="00CD7FF7"/>
    <w:rsid w:val="00D043E6"/>
    <w:rsid w:val="00D65126"/>
    <w:rsid w:val="00DA6DD5"/>
    <w:rsid w:val="00E53FED"/>
    <w:rsid w:val="00E73DC2"/>
    <w:rsid w:val="00E74FE2"/>
    <w:rsid w:val="00EC688B"/>
    <w:rsid w:val="00EC7BE3"/>
    <w:rsid w:val="00ED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54357"/>
  <w15:docId w15:val="{E031EB85-A0C6-422D-BCBB-ECF45861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C2"/>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DC2"/>
    <w:pPr>
      <w:ind w:left="720"/>
      <w:contextualSpacing/>
    </w:pPr>
  </w:style>
  <w:style w:type="paragraph" w:styleId="Header">
    <w:name w:val="header"/>
    <w:basedOn w:val="Normal"/>
    <w:link w:val="HeaderChar"/>
    <w:uiPriority w:val="99"/>
    <w:unhideWhenUsed/>
    <w:rsid w:val="00E73DC2"/>
    <w:pPr>
      <w:tabs>
        <w:tab w:val="center" w:pos="4680"/>
        <w:tab w:val="right" w:pos="9360"/>
      </w:tabs>
    </w:pPr>
  </w:style>
  <w:style w:type="character" w:customStyle="1" w:styleId="HeaderChar">
    <w:name w:val="Header Char"/>
    <w:basedOn w:val="DefaultParagraphFont"/>
    <w:link w:val="Header"/>
    <w:uiPriority w:val="99"/>
    <w:rsid w:val="00E73DC2"/>
    <w:rPr>
      <w:rFonts w:eastAsiaTheme="minorEastAsia" w:cs="Times New Roman"/>
      <w:sz w:val="24"/>
      <w:szCs w:val="24"/>
      <w:lang w:bidi="en-US"/>
    </w:rPr>
  </w:style>
  <w:style w:type="paragraph" w:styleId="Footer">
    <w:name w:val="footer"/>
    <w:basedOn w:val="Normal"/>
    <w:link w:val="FooterChar"/>
    <w:uiPriority w:val="99"/>
    <w:unhideWhenUsed/>
    <w:rsid w:val="00E73DC2"/>
    <w:pPr>
      <w:tabs>
        <w:tab w:val="center" w:pos="4680"/>
        <w:tab w:val="right" w:pos="9360"/>
      </w:tabs>
    </w:pPr>
  </w:style>
  <w:style w:type="character" w:customStyle="1" w:styleId="FooterChar">
    <w:name w:val="Footer Char"/>
    <w:basedOn w:val="DefaultParagraphFont"/>
    <w:link w:val="Footer"/>
    <w:uiPriority w:val="99"/>
    <w:rsid w:val="00E73DC2"/>
    <w:rPr>
      <w:rFonts w:eastAsiaTheme="minorEastAsia" w:cs="Times New Roman"/>
      <w:sz w:val="24"/>
      <w:szCs w:val="24"/>
      <w:lang w:bidi="en-US"/>
    </w:rPr>
  </w:style>
  <w:style w:type="paragraph" w:styleId="BalloonText">
    <w:name w:val="Balloon Text"/>
    <w:basedOn w:val="Normal"/>
    <w:link w:val="BalloonTextChar"/>
    <w:uiPriority w:val="99"/>
    <w:semiHidden/>
    <w:unhideWhenUsed/>
    <w:rsid w:val="00EC7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BE3"/>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4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44D3E95-5E5F-4F0C-AC1C-E9B3CA379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dc:creator>
  <cp:lastModifiedBy>Ronald Silvia</cp:lastModifiedBy>
  <cp:revision>2</cp:revision>
  <cp:lastPrinted>2021-02-16T13:36:00Z</cp:lastPrinted>
  <dcterms:created xsi:type="dcterms:W3CDTF">2021-02-16T13:40:00Z</dcterms:created>
  <dcterms:modified xsi:type="dcterms:W3CDTF">2021-02-16T13:40:00Z</dcterms:modified>
</cp:coreProperties>
</file>