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D8597" w14:textId="11242AF5" w:rsidR="00EC58A9" w:rsidRPr="005F3D54" w:rsidRDefault="005F3D54" w:rsidP="00100079">
      <w:pPr>
        <w:tabs>
          <w:tab w:val="right" w:pos="9360"/>
        </w:tabs>
        <w:rPr>
          <w:rFonts w:ascii="Arial" w:hAnsi="Arial" w:cs="Arial"/>
          <w:b/>
          <w:sz w:val="32"/>
          <w:szCs w:val="23"/>
        </w:rPr>
      </w:pPr>
      <w:r w:rsidRPr="005F3D54">
        <w:rPr>
          <w:rFonts w:ascii="Arial" w:hAnsi="Arial" w:cs="Arial"/>
          <w:b/>
          <w:sz w:val="32"/>
          <w:szCs w:val="23"/>
        </w:rPr>
        <w:t>MEDIA RELEASE</w:t>
      </w:r>
    </w:p>
    <w:p w14:paraId="3390B519" w14:textId="51804D7B" w:rsidR="005F3D54" w:rsidRDefault="005F3D54" w:rsidP="00100079">
      <w:pPr>
        <w:tabs>
          <w:tab w:val="right" w:pos="9360"/>
        </w:tabs>
        <w:rPr>
          <w:rFonts w:ascii="Arial" w:hAnsi="Arial" w:cs="Arial"/>
          <w:sz w:val="23"/>
          <w:szCs w:val="23"/>
        </w:rPr>
      </w:pPr>
    </w:p>
    <w:p w14:paraId="2ED4E0B3" w14:textId="587BB7F1" w:rsidR="00C034E7" w:rsidRDefault="008D66F9" w:rsidP="002F5CBE">
      <w:pPr>
        <w:tabs>
          <w:tab w:val="right" w:pos="9360"/>
        </w:tabs>
        <w:jc w:val="both"/>
        <w:rPr>
          <w:rFonts w:ascii="Arial" w:hAnsi="Arial" w:cs="Arial"/>
          <w:b/>
          <w:sz w:val="24"/>
          <w:szCs w:val="23"/>
        </w:rPr>
      </w:pPr>
      <w:r w:rsidRPr="008D66F9">
        <w:rPr>
          <w:rFonts w:ascii="Arial" w:hAnsi="Arial" w:cs="Arial"/>
          <w:b/>
          <w:sz w:val="24"/>
          <w:szCs w:val="23"/>
        </w:rPr>
        <w:t xml:space="preserve">Letter of Map Revision </w:t>
      </w:r>
      <w:r>
        <w:rPr>
          <w:rFonts w:ascii="Arial" w:hAnsi="Arial" w:cs="Arial"/>
          <w:b/>
          <w:sz w:val="24"/>
          <w:szCs w:val="23"/>
        </w:rPr>
        <w:t xml:space="preserve">Submitted </w:t>
      </w:r>
      <w:r w:rsidRPr="008D66F9">
        <w:rPr>
          <w:rFonts w:ascii="Arial" w:hAnsi="Arial" w:cs="Arial"/>
          <w:b/>
          <w:sz w:val="24"/>
          <w:szCs w:val="23"/>
        </w:rPr>
        <w:t xml:space="preserve">Following Completion of Phase I Benching — Significant </w:t>
      </w:r>
      <w:r>
        <w:rPr>
          <w:rFonts w:ascii="Arial" w:hAnsi="Arial" w:cs="Arial"/>
          <w:b/>
          <w:sz w:val="24"/>
          <w:szCs w:val="23"/>
        </w:rPr>
        <w:t xml:space="preserve">Portions of Land Identified for </w:t>
      </w:r>
      <w:r w:rsidRPr="008D66F9">
        <w:rPr>
          <w:rFonts w:ascii="Arial" w:hAnsi="Arial" w:cs="Arial"/>
          <w:b/>
          <w:sz w:val="24"/>
          <w:szCs w:val="23"/>
        </w:rPr>
        <w:t>Remov</w:t>
      </w:r>
      <w:r>
        <w:rPr>
          <w:rFonts w:ascii="Arial" w:hAnsi="Arial" w:cs="Arial"/>
          <w:b/>
          <w:sz w:val="24"/>
          <w:szCs w:val="23"/>
        </w:rPr>
        <w:t>al</w:t>
      </w:r>
      <w:r w:rsidRPr="008D66F9">
        <w:rPr>
          <w:rFonts w:ascii="Arial" w:hAnsi="Arial" w:cs="Arial"/>
          <w:b/>
          <w:sz w:val="24"/>
          <w:szCs w:val="23"/>
        </w:rPr>
        <w:t xml:space="preserve"> or Reduc</w:t>
      </w:r>
      <w:r>
        <w:rPr>
          <w:rFonts w:ascii="Arial" w:hAnsi="Arial" w:cs="Arial"/>
          <w:b/>
          <w:sz w:val="24"/>
          <w:szCs w:val="23"/>
        </w:rPr>
        <w:t>tion</w:t>
      </w:r>
      <w:r w:rsidRPr="008D66F9">
        <w:rPr>
          <w:rFonts w:ascii="Arial" w:hAnsi="Arial" w:cs="Arial"/>
          <w:b/>
          <w:sz w:val="24"/>
          <w:szCs w:val="23"/>
        </w:rPr>
        <w:t xml:space="preserve"> from FEMA Flood Zones</w:t>
      </w:r>
    </w:p>
    <w:p w14:paraId="0A3800B5" w14:textId="77777777" w:rsidR="008D66F9" w:rsidRDefault="008D66F9" w:rsidP="002F5CBE">
      <w:pPr>
        <w:tabs>
          <w:tab w:val="right" w:pos="9360"/>
        </w:tabs>
        <w:jc w:val="both"/>
        <w:rPr>
          <w:rFonts w:ascii="Arial" w:hAnsi="Arial" w:cs="Arial"/>
          <w:b/>
          <w:sz w:val="23"/>
          <w:szCs w:val="23"/>
        </w:rPr>
      </w:pPr>
    </w:p>
    <w:p w14:paraId="016AB04E" w14:textId="11CB12A4" w:rsidR="008D66F9" w:rsidRDefault="008D66F9" w:rsidP="008D66F9">
      <w:pPr>
        <w:tabs>
          <w:tab w:val="right" w:pos="9360"/>
        </w:tabs>
        <w:jc w:val="both"/>
        <w:rPr>
          <w:rFonts w:ascii="Arial" w:hAnsi="Arial" w:cs="Arial"/>
          <w:sz w:val="23"/>
          <w:szCs w:val="23"/>
        </w:rPr>
      </w:pPr>
      <w:r>
        <w:rPr>
          <w:rFonts w:ascii="Arial" w:hAnsi="Arial" w:cs="Arial"/>
          <w:b/>
          <w:sz w:val="23"/>
          <w:szCs w:val="23"/>
        </w:rPr>
        <w:t>September 1</w:t>
      </w:r>
      <w:r w:rsidR="00C75985">
        <w:rPr>
          <w:rFonts w:ascii="Arial" w:hAnsi="Arial" w:cs="Arial"/>
          <w:b/>
          <w:sz w:val="23"/>
          <w:szCs w:val="23"/>
        </w:rPr>
        <w:t>8</w:t>
      </w:r>
      <w:r>
        <w:rPr>
          <w:rFonts w:ascii="Arial" w:hAnsi="Arial" w:cs="Arial"/>
          <w:b/>
          <w:sz w:val="23"/>
          <w:szCs w:val="23"/>
        </w:rPr>
        <w:t>, 2025</w:t>
      </w:r>
      <w:r w:rsidR="00C034E7">
        <w:rPr>
          <w:rFonts w:ascii="Arial" w:hAnsi="Arial" w:cs="Arial"/>
          <w:b/>
          <w:sz w:val="23"/>
          <w:szCs w:val="23"/>
        </w:rPr>
        <w:t xml:space="preserve">- </w:t>
      </w:r>
      <w:r w:rsidR="002F5CBE" w:rsidRPr="002F5CBE">
        <w:rPr>
          <w:rFonts w:ascii="Arial" w:hAnsi="Arial" w:cs="Arial"/>
          <w:b/>
          <w:sz w:val="23"/>
          <w:szCs w:val="23"/>
        </w:rPr>
        <w:t>Findlay, Ohio</w:t>
      </w:r>
      <w:r w:rsidR="002F5CBE" w:rsidRPr="002F5CBE">
        <w:rPr>
          <w:rFonts w:ascii="Arial" w:hAnsi="Arial" w:cs="Arial"/>
          <w:sz w:val="23"/>
          <w:szCs w:val="23"/>
        </w:rPr>
        <w:t xml:space="preserve"> –</w:t>
      </w:r>
      <w:r w:rsidRPr="008D66F9">
        <w:rPr>
          <w:rFonts w:ascii="Arial" w:hAnsi="Arial" w:cs="Arial"/>
          <w:sz w:val="23"/>
          <w:szCs w:val="23"/>
        </w:rPr>
        <w:t xml:space="preserve">— </w:t>
      </w:r>
      <w:r>
        <w:rPr>
          <w:rFonts w:ascii="Arial" w:hAnsi="Arial" w:cs="Arial"/>
          <w:sz w:val="23"/>
          <w:szCs w:val="23"/>
        </w:rPr>
        <w:t>The City of Findlay</w:t>
      </w:r>
      <w:r w:rsidRPr="008D66F9">
        <w:rPr>
          <w:rFonts w:ascii="Arial" w:hAnsi="Arial" w:cs="Arial"/>
          <w:sz w:val="23"/>
          <w:szCs w:val="23"/>
        </w:rPr>
        <w:t xml:space="preserve">, in partnership with the </w:t>
      </w:r>
      <w:r>
        <w:rPr>
          <w:rFonts w:ascii="Arial" w:hAnsi="Arial" w:cs="Arial"/>
          <w:sz w:val="23"/>
          <w:szCs w:val="23"/>
        </w:rPr>
        <w:t>Hancock County Commissioners</w:t>
      </w:r>
      <w:r w:rsidRPr="008D66F9">
        <w:rPr>
          <w:rFonts w:ascii="Arial" w:hAnsi="Arial" w:cs="Arial"/>
          <w:sz w:val="23"/>
          <w:szCs w:val="23"/>
        </w:rPr>
        <w:t xml:space="preserve"> and consulting engineers</w:t>
      </w:r>
      <w:r w:rsidR="0091028A">
        <w:rPr>
          <w:rFonts w:ascii="Arial" w:hAnsi="Arial" w:cs="Arial"/>
          <w:sz w:val="23"/>
          <w:szCs w:val="23"/>
        </w:rPr>
        <w:t xml:space="preserve"> from Stantec</w:t>
      </w:r>
      <w:r w:rsidRPr="008D66F9">
        <w:rPr>
          <w:rFonts w:ascii="Arial" w:hAnsi="Arial" w:cs="Arial"/>
          <w:sz w:val="23"/>
          <w:szCs w:val="23"/>
        </w:rPr>
        <w:t xml:space="preserve">, today announced submission of a Letter of Map Revision (LOMR) to FEMA following the </w:t>
      </w:r>
      <w:r>
        <w:rPr>
          <w:rFonts w:ascii="Arial" w:hAnsi="Arial" w:cs="Arial"/>
          <w:sz w:val="23"/>
          <w:szCs w:val="23"/>
        </w:rPr>
        <w:t xml:space="preserve">official </w:t>
      </w:r>
      <w:r w:rsidRPr="008D66F9">
        <w:rPr>
          <w:rFonts w:ascii="Arial" w:hAnsi="Arial" w:cs="Arial"/>
          <w:sz w:val="23"/>
          <w:szCs w:val="23"/>
        </w:rPr>
        <w:t>completion of Phase I benching of the Blanchard River. Once approved, the revision will revise the boundaries and elevations of the Special Flood Hazard Area (SFHA) in multiple locations, removing or reducing flood risk designations for certain parcels.</w:t>
      </w:r>
      <w:r w:rsidR="008B32EA">
        <w:rPr>
          <w:rFonts w:ascii="Arial" w:hAnsi="Arial" w:cs="Arial"/>
          <w:sz w:val="23"/>
          <w:szCs w:val="23"/>
        </w:rPr>
        <w:t xml:space="preserve"> Letters of Map Revision will also be submitted following the additional flood mitigation projects with additional properties expected to be further positively impacted.</w:t>
      </w:r>
    </w:p>
    <w:p w14:paraId="277AB1B9" w14:textId="77777777" w:rsidR="008D66F9" w:rsidRPr="008D66F9" w:rsidRDefault="008D66F9" w:rsidP="008D66F9">
      <w:pPr>
        <w:tabs>
          <w:tab w:val="right" w:pos="9360"/>
        </w:tabs>
        <w:jc w:val="both"/>
        <w:rPr>
          <w:rFonts w:ascii="Arial" w:hAnsi="Arial" w:cs="Arial"/>
          <w:sz w:val="23"/>
          <w:szCs w:val="23"/>
        </w:rPr>
      </w:pPr>
    </w:p>
    <w:p w14:paraId="74FA5D40" w14:textId="77777777" w:rsidR="008D66F9" w:rsidRPr="008D66F9" w:rsidRDefault="008D66F9" w:rsidP="008D66F9">
      <w:pPr>
        <w:tabs>
          <w:tab w:val="right" w:pos="9360"/>
        </w:tabs>
        <w:jc w:val="both"/>
        <w:rPr>
          <w:rFonts w:ascii="Arial" w:hAnsi="Arial" w:cs="Arial"/>
          <w:b/>
          <w:bCs/>
          <w:sz w:val="23"/>
          <w:szCs w:val="23"/>
        </w:rPr>
      </w:pPr>
      <w:r w:rsidRPr="008D66F9">
        <w:rPr>
          <w:rFonts w:ascii="Arial" w:hAnsi="Arial" w:cs="Arial"/>
          <w:b/>
          <w:bCs/>
          <w:sz w:val="23"/>
          <w:szCs w:val="23"/>
        </w:rPr>
        <w:t>Key Impacts</w:t>
      </w:r>
    </w:p>
    <w:p w14:paraId="7F84E7FD" w14:textId="77777777" w:rsidR="008D66F9" w:rsidRDefault="008D66F9" w:rsidP="008D66F9">
      <w:pPr>
        <w:pStyle w:val="ListParagraph"/>
        <w:numPr>
          <w:ilvl w:val="0"/>
          <w:numId w:val="12"/>
        </w:numPr>
        <w:tabs>
          <w:tab w:val="right" w:pos="9360"/>
        </w:tabs>
        <w:jc w:val="both"/>
        <w:rPr>
          <w:rFonts w:ascii="Arial" w:hAnsi="Arial" w:cs="Arial"/>
          <w:sz w:val="23"/>
          <w:szCs w:val="23"/>
        </w:rPr>
      </w:pPr>
      <w:r w:rsidRPr="008D66F9">
        <w:rPr>
          <w:rFonts w:ascii="Arial" w:hAnsi="Arial" w:cs="Arial"/>
          <w:sz w:val="23"/>
          <w:szCs w:val="23"/>
        </w:rPr>
        <w:t>Reduced Flood Zones: Based on updated hydraulic modeling by Stantec, 375 parcels (totaling approximately 15 acres) will be completely removed from FEMA’s SFHA.</w:t>
      </w:r>
    </w:p>
    <w:p w14:paraId="124FBBAE" w14:textId="77777777" w:rsidR="008D66F9" w:rsidRDefault="008D66F9" w:rsidP="008D66F9">
      <w:pPr>
        <w:pStyle w:val="ListParagraph"/>
        <w:numPr>
          <w:ilvl w:val="0"/>
          <w:numId w:val="12"/>
        </w:numPr>
        <w:tabs>
          <w:tab w:val="right" w:pos="9360"/>
        </w:tabs>
        <w:jc w:val="both"/>
        <w:rPr>
          <w:rFonts w:ascii="Arial" w:hAnsi="Arial" w:cs="Arial"/>
          <w:sz w:val="23"/>
          <w:szCs w:val="23"/>
        </w:rPr>
      </w:pPr>
      <w:r w:rsidRPr="008D66F9">
        <w:rPr>
          <w:rFonts w:ascii="Arial" w:hAnsi="Arial" w:cs="Arial"/>
          <w:sz w:val="23"/>
          <w:szCs w:val="23"/>
        </w:rPr>
        <w:t>Lowered Water Surface Elevations: Another 985 parcels (around 67 acres) will remain in the SFHA, but with a reduced 100</w:t>
      </w:r>
      <w:r w:rsidRPr="008D66F9">
        <w:rPr>
          <w:rFonts w:ascii="Cambria Math" w:hAnsi="Cambria Math" w:cs="Cambria Math"/>
          <w:sz w:val="23"/>
          <w:szCs w:val="23"/>
        </w:rPr>
        <w:t>‑</w:t>
      </w:r>
      <w:r w:rsidRPr="008D66F9">
        <w:rPr>
          <w:rFonts w:ascii="Arial" w:hAnsi="Arial" w:cs="Arial"/>
          <w:sz w:val="23"/>
          <w:szCs w:val="23"/>
        </w:rPr>
        <w:t>year water surface elevation.</w:t>
      </w:r>
    </w:p>
    <w:p w14:paraId="40552DF0" w14:textId="4CF94819" w:rsidR="008D66F9" w:rsidRPr="008D66F9" w:rsidRDefault="008D66F9" w:rsidP="008D66F9">
      <w:pPr>
        <w:pStyle w:val="ListParagraph"/>
        <w:numPr>
          <w:ilvl w:val="0"/>
          <w:numId w:val="12"/>
        </w:numPr>
        <w:tabs>
          <w:tab w:val="right" w:pos="9360"/>
        </w:tabs>
        <w:jc w:val="both"/>
        <w:rPr>
          <w:rFonts w:ascii="Arial" w:hAnsi="Arial" w:cs="Arial"/>
          <w:sz w:val="23"/>
          <w:szCs w:val="23"/>
        </w:rPr>
      </w:pPr>
      <w:r w:rsidRPr="008D66F9">
        <w:rPr>
          <w:rFonts w:ascii="Arial" w:hAnsi="Arial" w:cs="Arial"/>
          <w:sz w:val="23"/>
          <w:szCs w:val="23"/>
        </w:rPr>
        <w:t>Yellow</w:t>
      </w:r>
      <w:r w:rsidRPr="008D66F9">
        <w:rPr>
          <w:rFonts w:ascii="Cambria Math" w:hAnsi="Cambria Math" w:cs="Cambria Math"/>
          <w:sz w:val="23"/>
          <w:szCs w:val="23"/>
        </w:rPr>
        <w:t>‑</w:t>
      </w:r>
      <w:r w:rsidRPr="008D66F9">
        <w:rPr>
          <w:rFonts w:ascii="Arial" w:hAnsi="Arial" w:cs="Arial"/>
          <w:sz w:val="23"/>
          <w:szCs w:val="23"/>
        </w:rPr>
        <w:t>marked areas in the attached exhibit are those that will be removed from the SFHA.</w:t>
      </w:r>
    </w:p>
    <w:p w14:paraId="1ED02588" w14:textId="77777777" w:rsidR="008D66F9" w:rsidRPr="008D66F9" w:rsidRDefault="008D66F9" w:rsidP="008D66F9">
      <w:pPr>
        <w:tabs>
          <w:tab w:val="right" w:pos="9360"/>
        </w:tabs>
        <w:jc w:val="both"/>
        <w:rPr>
          <w:rFonts w:ascii="Arial" w:hAnsi="Arial" w:cs="Arial"/>
          <w:b/>
          <w:bCs/>
          <w:sz w:val="23"/>
          <w:szCs w:val="23"/>
        </w:rPr>
      </w:pPr>
      <w:r w:rsidRPr="008D66F9">
        <w:rPr>
          <w:rFonts w:ascii="Arial" w:hAnsi="Arial" w:cs="Arial"/>
          <w:b/>
          <w:bCs/>
          <w:sz w:val="23"/>
          <w:szCs w:val="23"/>
        </w:rPr>
        <w:t>Background</w:t>
      </w:r>
    </w:p>
    <w:p w14:paraId="6644BD85" w14:textId="77777777" w:rsidR="008D66F9" w:rsidRDefault="008D66F9" w:rsidP="008D66F9">
      <w:pPr>
        <w:pStyle w:val="ListParagraph"/>
        <w:numPr>
          <w:ilvl w:val="0"/>
          <w:numId w:val="13"/>
        </w:numPr>
        <w:tabs>
          <w:tab w:val="right" w:pos="9360"/>
        </w:tabs>
        <w:jc w:val="both"/>
        <w:rPr>
          <w:rFonts w:ascii="Arial" w:hAnsi="Arial" w:cs="Arial"/>
          <w:sz w:val="23"/>
          <w:szCs w:val="23"/>
        </w:rPr>
      </w:pPr>
      <w:r w:rsidRPr="008D66F9">
        <w:rPr>
          <w:rFonts w:ascii="Arial" w:hAnsi="Arial" w:cs="Arial"/>
          <w:sz w:val="23"/>
          <w:szCs w:val="23"/>
        </w:rPr>
        <w:t>The Hancock County Flood Risk Reduction Program, which encompasses several flood mitigation efforts including Phase I hydraulic improvements, has been underway to address rising flood frequency in the Blanchard River and surrounding watershed.</w:t>
      </w:r>
    </w:p>
    <w:p w14:paraId="019B0BBB" w14:textId="77777777" w:rsidR="008D66F9" w:rsidRDefault="008D66F9" w:rsidP="008D66F9">
      <w:pPr>
        <w:pStyle w:val="ListParagraph"/>
        <w:numPr>
          <w:ilvl w:val="0"/>
          <w:numId w:val="13"/>
        </w:numPr>
        <w:tabs>
          <w:tab w:val="right" w:pos="9360"/>
        </w:tabs>
        <w:jc w:val="both"/>
        <w:rPr>
          <w:rFonts w:ascii="Arial" w:hAnsi="Arial" w:cs="Arial"/>
          <w:sz w:val="23"/>
          <w:szCs w:val="23"/>
        </w:rPr>
      </w:pPr>
      <w:r w:rsidRPr="008D66F9">
        <w:rPr>
          <w:rFonts w:ascii="Arial" w:hAnsi="Arial" w:cs="Arial"/>
          <w:sz w:val="23"/>
          <w:szCs w:val="23"/>
        </w:rPr>
        <w:t>Phase I involved floodplain benching near Swale Park, removal of several low</w:t>
      </w:r>
      <w:r w:rsidRPr="008D66F9">
        <w:rPr>
          <w:rFonts w:ascii="Cambria Math" w:hAnsi="Cambria Math" w:cs="Cambria Math"/>
          <w:sz w:val="23"/>
          <w:szCs w:val="23"/>
        </w:rPr>
        <w:t>‑</w:t>
      </w:r>
      <w:r w:rsidRPr="008D66F9">
        <w:rPr>
          <w:rFonts w:ascii="Arial" w:hAnsi="Arial" w:cs="Arial"/>
          <w:sz w:val="23"/>
          <w:szCs w:val="23"/>
        </w:rPr>
        <w:t>head dams downstream of Lye Creek, and instream riffle construction at low</w:t>
      </w:r>
      <w:r w:rsidRPr="008D66F9">
        <w:rPr>
          <w:rFonts w:ascii="Cambria Math" w:hAnsi="Cambria Math" w:cs="Cambria Math"/>
          <w:sz w:val="23"/>
          <w:szCs w:val="23"/>
        </w:rPr>
        <w:t>‑</w:t>
      </w:r>
      <w:r w:rsidRPr="008D66F9">
        <w:rPr>
          <w:rFonts w:ascii="Arial" w:hAnsi="Arial" w:cs="Arial"/>
          <w:sz w:val="23"/>
          <w:szCs w:val="23"/>
        </w:rPr>
        <w:t>head dam sites.</w:t>
      </w:r>
    </w:p>
    <w:p w14:paraId="42F5B992" w14:textId="4EA095AE" w:rsidR="008D66F9" w:rsidRPr="008D66F9" w:rsidRDefault="008D66F9" w:rsidP="008D66F9">
      <w:pPr>
        <w:pStyle w:val="ListParagraph"/>
        <w:numPr>
          <w:ilvl w:val="0"/>
          <w:numId w:val="13"/>
        </w:numPr>
        <w:tabs>
          <w:tab w:val="right" w:pos="9360"/>
        </w:tabs>
        <w:jc w:val="both"/>
        <w:rPr>
          <w:rFonts w:ascii="Arial" w:hAnsi="Arial" w:cs="Arial"/>
          <w:sz w:val="23"/>
          <w:szCs w:val="23"/>
        </w:rPr>
      </w:pPr>
      <w:r w:rsidRPr="008D66F9">
        <w:rPr>
          <w:rFonts w:ascii="Arial" w:hAnsi="Arial" w:cs="Arial"/>
          <w:sz w:val="23"/>
          <w:szCs w:val="23"/>
        </w:rPr>
        <w:t>These improvements, together with property acquisition and demolition of flood</w:t>
      </w:r>
      <w:r w:rsidRPr="008D66F9">
        <w:rPr>
          <w:rFonts w:ascii="Cambria Math" w:hAnsi="Cambria Math" w:cs="Cambria Math"/>
          <w:sz w:val="23"/>
          <w:szCs w:val="23"/>
        </w:rPr>
        <w:t>‑</w:t>
      </w:r>
      <w:r w:rsidRPr="008D66F9">
        <w:rPr>
          <w:rFonts w:ascii="Arial" w:hAnsi="Arial" w:cs="Arial"/>
          <w:sz w:val="23"/>
          <w:szCs w:val="23"/>
        </w:rPr>
        <w:t>prone structures, have lowered flood stages as measured at Main Street in Findlay. The National Weather Service revised flood stage definitions in early 2021 to reflect the benefits of these improvements.</w:t>
      </w:r>
    </w:p>
    <w:p w14:paraId="67DCF545" w14:textId="77777777" w:rsidR="008D66F9" w:rsidRPr="008D66F9" w:rsidRDefault="008D66F9" w:rsidP="008D66F9">
      <w:pPr>
        <w:tabs>
          <w:tab w:val="right" w:pos="9360"/>
        </w:tabs>
        <w:jc w:val="both"/>
        <w:rPr>
          <w:rFonts w:ascii="Arial" w:hAnsi="Arial" w:cs="Arial"/>
          <w:b/>
          <w:bCs/>
          <w:sz w:val="23"/>
          <w:szCs w:val="23"/>
        </w:rPr>
      </w:pPr>
      <w:r w:rsidRPr="008D66F9">
        <w:rPr>
          <w:rFonts w:ascii="Arial" w:hAnsi="Arial" w:cs="Arial"/>
          <w:b/>
          <w:bCs/>
          <w:sz w:val="23"/>
          <w:szCs w:val="23"/>
        </w:rPr>
        <w:t>What This Means for Property Owners</w:t>
      </w:r>
    </w:p>
    <w:p w14:paraId="01561FE1" w14:textId="77777777" w:rsidR="008D66F9" w:rsidRDefault="008D66F9" w:rsidP="008D66F9">
      <w:pPr>
        <w:pStyle w:val="ListParagraph"/>
        <w:numPr>
          <w:ilvl w:val="0"/>
          <w:numId w:val="14"/>
        </w:numPr>
        <w:tabs>
          <w:tab w:val="right" w:pos="9360"/>
        </w:tabs>
        <w:jc w:val="both"/>
        <w:rPr>
          <w:rFonts w:ascii="Arial" w:hAnsi="Arial" w:cs="Arial"/>
          <w:sz w:val="23"/>
          <w:szCs w:val="23"/>
        </w:rPr>
      </w:pPr>
      <w:r w:rsidRPr="008D66F9">
        <w:rPr>
          <w:rFonts w:ascii="Arial" w:hAnsi="Arial" w:cs="Arial"/>
          <w:sz w:val="23"/>
          <w:szCs w:val="23"/>
        </w:rPr>
        <w:t>Properties completely removed from the SFHA may no longer be required to carry flood insurance under certain regulations, depending on lender, mortgage, or insurance company requirements.</w:t>
      </w:r>
    </w:p>
    <w:p w14:paraId="6F171C4F" w14:textId="77777777" w:rsidR="008D66F9" w:rsidRDefault="008D66F9" w:rsidP="008D66F9">
      <w:pPr>
        <w:pStyle w:val="ListParagraph"/>
        <w:numPr>
          <w:ilvl w:val="0"/>
          <w:numId w:val="14"/>
        </w:numPr>
        <w:tabs>
          <w:tab w:val="right" w:pos="9360"/>
        </w:tabs>
        <w:jc w:val="both"/>
        <w:rPr>
          <w:rFonts w:ascii="Arial" w:hAnsi="Arial" w:cs="Arial"/>
          <w:sz w:val="23"/>
          <w:szCs w:val="23"/>
        </w:rPr>
      </w:pPr>
      <w:r w:rsidRPr="008D66F9">
        <w:rPr>
          <w:rFonts w:ascii="Arial" w:hAnsi="Arial" w:cs="Arial"/>
          <w:sz w:val="23"/>
          <w:szCs w:val="23"/>
        </w:rPr>
        <w:t>Those with reduced flood elevations may see lower flood insurance premiums, fewer regulatory restrictions, and reduced risk exposure.</w:t>
      </w:r>
    </w:p>
    <w:p w14:paraId="28CF4198" w14:textId="5A0AE59A" w:rsidR="008D66F9" w:rsidRPr="008D66F9" w:rsidRDefault="008D66F9" w:rsidP="008D66F9">
      <w:pPr>
        <w:pStyle w:val="ListParagraph"/>
        <w:numPr>
          <w:ilvl w:val="0"/>
          <w:numId w:val="14"/>
        </w:numPr>
        <w:tabs>
          <w:tab w:val="right" w:pos="9360"/>
        </w:tabs>
        <w:jc w:val="both"/>
        <w:rPr>
          <w:rFonts w:ascii="Arial" w:hAnsi="Arial" w:cs="Arial"/>
          <w:sz w:val="23"/>
          <w:szCs w:val="23"/>
        </w:rPr>
      </w:pPr>
      <w:r w:rsidRPr="008D66F9">
        <w:rPr>
          <w:rFonts w:ascii="Arial" w:hAnsi="Arial" w:cs="Arial"/>
          <w:sz w:val="23"/>
          <w:szCs w:val="23"/>
        </w:rPr>
        <w:t>Affected property owners will need to check with the local floodplain administrator and insurance provider after the LOMR is approved to understand specific implications for their parcels.</w:t>
      </w:r>
    </w:p>
    <w:p w14:paraId="32143EF5" w14:textId="77777777" w:rsidR="008D66F9" w:rsidRPr="008D66F9" w:rsidRDefault="008D66F9" w:rsidP="008D66F9">
      <w:pPr>
        <w:tabs>
          <w:tab w:val="right" w:pos="9360"/>
        </w:tabs>
        <w:jc w:val="both"/>
        <w:rPr>
          <w:rFonts w:ascii="Arial" w:hAnsi="Arial" w:cs="Arial"/>
          <w:b/>
          <w:bCs/>
          <w:sz w:val="23"/>
          <w:szCs w:val="23"/>
        </w:rPr>
      </w:pPr>
      <w:r w:rsidRPr="008D66F9">
        <w:rPr>
          <w:rFonts w:ascii="Arial" w:hAnsi="Arial" w:cs="Arial"/>
          <w:b/>
          <w:bCs/>
          <w:sz w:val="23"/>
          <w:szCs w:val="23"/>
        </w:rPr>
        <w:t>Next Steps</w:t>
      </w:r>
    </w:p>
    <w:p w14:paraId="0112556F" w14:textId="0E2A067F" w:rsidR="008D66F9" w:rsidRDefault="008D66F9" w:rsidP="008D66F9">
      <w:pPr>
        <w:pStyle w:val="ListParagraph"/>
        <w:numPr>
          <w:ilvl w:val="0"/>
          <w:numId w:val="15"/>
        </w:numPr>
        <w:tabs>
          <w:tab w:val="right" w:pos="9360"/>
        </w:tabs>
        <w:jc w:val="both"/>
        <w:rPr>
          <w:rFonts w:ascii="Arial" w:hAnsi="Arial" w:cs="Arial"/>
          <w:sz w:val="23"/>
          <w:szCs w:val="23"/>
        </w:rPr>
      </w:pPr>
      <w:r w:rsidRPr="008D66F9">
        <w:rPr>
          <w:rFonts w:ascii="Arial" w:hAnsi="Arial" w:cs="Arial"/>
          <w:sz w:val="23"/>
          <w:szCs w:val="23"/>
        </w:rPr>
        <w:lastRenderedPageBreak/>
        <w:t>Review &amp; Approval: FEMA will review the submitted LOMR. Once FEMA issues a Letter of Final Determination, the changes become official.</w:t>
      </w:r>
      <w:r>
        <w:rPr>
          <w:rFonts w:ascii="Arial" w:hAnsi="Arial" w:cs="Arial"/>
          <w:sz w:val="23"/>
          <w:szCs w:val="23"/>
        </w:rPr>
        <w:t xml:space="preserve"> </w:t>
      </w:r>
      <w:r w:rsidRPr="008D66F9">
        <w:rPr>
          <w:rFonts w:ascii="Arial" w:hAnsi="Arial" w:cs="Arial"/>
          <w:sz w:val="23"/>
          <w:szCs w:val="23"/>
          <w:u w:val="single"/>
        </w:rPr>
        <w:t>This process is expected to take 6 months.</w:t>
      </w:r>
    </w:p>
    <w:p w14:paraId="7CB701CC" w14:textId="77777777" w:rsidR="008D66F9" w:rsidRDefault="008D66F9" w:rsidP="008D66F9">
      <w:pPr>
        <w:pStyle w:val="ListParagraph"/>
        <w:numPr>
          <w:ilvl w:val="0"/>
          <w:numId w:val="15"/>
        </w:numPr>
        <w:tabs>
          <w:tab w:val="right" w:pos="9360"/>
        </w:tabs>
        <w:jc w:val="both"/>
        <w:rPr>
          <w:rFonts w:ascii="Arial" w:hAnsi="Arial" w:cs="Arial"/>
          <w:sz w:val="23"/>
          <w:szCs w:val="23"/>
        </w:rPr>
      </w:pPr>
      <w:r w:rsidRPr="008D66F9">
        <w:rPr>
          <w:rFonts w:ascii="Arial" w:hAnsi="Arial" w:cs="Arial"/>
          <w:sz w:val="23"/>
          <w:szCs w:val="23"/>
        </w:rPr>
        <w:t>Mapping Updates: Flood Insurance Rate Maps (FIRMs) will be updated to reflect the changes.</w:t>
      </w:r>
    </w:p>
    <w:p w14:paraId="4D4CAF2A" w14:textId="77777777" w:rsidR="008D66F9" w:rsidRDefault="008D66F9" w:rsidP="008D66F9">
      <w:pPr>
        <w:pStyle w:val="ListParagraph"/>
        <w:numPr>
          <w:ilvl w:val="0"/>
          <w:numId w:val="15"/>
        </w:numPr>
        <w:tabs>
          <w:tab w:val="right" w:pos="9360"/>
        </w:tabs>
        <w:jc w:val="both"/>
        <w:rPr>
          <w:rFonts w:ascii="Arial" w:hAnsi="Arial" w:cs="Arial"/>
          <w:sz w:val="23"/>
          <w:szCs w:val="23"/>
        </w:rPr>
      </w:pPr>
      <w:r w:rsidRPr="008D66F9">
        <w:rPr>
          <w:rFonts w:ascii="Arial" w:hAnsi="Arial" w:cs="Arial"/>
          <w:sz w:val="23"/>
          <w:szCs w:val="23"/>
        </w:rPr>
        <w:t>Notification: Property owners in affected areas will be notified once the revisions are effective. Local officials will provide resources for understanding the changes.</w:t>
      </w:r>
    </w:p>
    <w:p w14:paraId="28BD1A60" w14:textId="1C8EC9B5" w:rsidR="008D66F9" w:rsidRPr="008D66F9" w:rsidRDefault="008D66F9" w:rsidP="008D66F9">
      <w:pPr>
        <w:pStyle w:val="ListParagraph"/>
        <w:numPr>
          <w:ilvl w:val="0"/>
          <w:numId w:val="15"/>
        </w:numPr>
        <w:tabs>
          <w:tab w:val="right" w:pos="9360"/>
        </w:tabs>
        <w:jc w:val="both"/>
        <w:rPr>
          <w:rFonts w:ascii="Arial" w:hAnsi="Arial" w:cs="Arial"/>
          <w:sz w:val="23"/>
          <w:szCs w:val="23"/>
        </w:rPr>
      </w:pPr>
      <w:r w:rsidRPr="008D66F9">
        <w:rPr>
          <w:rFonts w:ascii="Arial" w:hAnsi="Arial" w:cs="Arial"/>
          <w:sz w:val="23"/>
          <w:szCs w:val="23"/>
        </w:rPr>
        <w:t xml:space="preserve">Continued Mitigation: Additional hydraulic improvements are planned, including </w:t>
      </w:r>
      <w:r w:rsidR="008F286D">
        <w:rPr>
          <w:rFonts w:ascii="Arial" w:hAnsi="Arial" w:cs="Arial"/>
          <w:sz w:val="23"/>
          <w:szCs w:val="23"/>
        </w:rPr>
        <w:t>additional river benching in downtown Findlay</w:t>
      </w:r>
      <w:r w:rsidRPr="008D66F9">
        <w:rPr>
          <w:rFonts w:ascii="Arial" w:hAnsi="Arial" w:cs="Arial"/>
          <w:sz w:val="23"/>
          <w:szCs w:val="23"/>
        </w:rPr>
        <w:t xml:space="preserve">, </w:t>
      </w:r>
      <w:r w:rsidR="008F286D">
        <w:rPr>
          <w:rFonts w:ascii="Arial" w:hAnsi="Arial" w:cs="Arial"/>
          <w:sz w:val="23"/>
          <w:szCs w:val="23"/>
        </w:rPr>
        <w:t>replacement of the Norfolk Southern Railroad Bridge, and construction of the Eagle Creek Basin with</w:t>
      </w:r>
      <w:r w:rsidRPr="008D66F9">
        <w:rPr>
          <w:rFonts w:ascii="Arial" w:hAnsi="Arial" w:cs="Arial"/>
          <w:sz w:val="23"/>
          <w:szCs w:val="23"/>
        </w:rPr>
        <w:t xml:space="preserve"> construction anticipated in late 2025 or early 2026.</w:t>
      </w:r>
    </w:p>
    <w:p w14:paraId="79A98FC4" w14:textId="77777777" w:rsidR="008D66F9" w:rsidRPr="008D66F9" w:rsidRDefault="008D66F9" w:rsidP="008D66F9">
      <w:pPr>
        <w:tabs>
          <w:tab w:val="right" w:pos="9360"/>
        </w:tabs>
        <w:jc w:val="both"/>
        <w:rPr>
          <w:rFonts w:ascii="Arial" w:hAnsi="Arial" w:cs="Arial"/>
          <w:b/>
          <w:bCs/>
          <w:sz w:val="23"/>
          <w:szCs w:val="23"/>
        </w:rPr>
      </w:pPr>
      <w:r w:rsidRPr="008D66F9">
        <w:rPr>
          <w:rFonts w:ascii="Arial" w:hAnsi="Arial" w:cs="Arial"/>
          <w:b/>
          <w:bCs/>
          <w:sz w:val="23"/>
          <w:szCs w:val="23"/>
        </w:rPr>
        <w:t>Quotes</w:t>
      </w:r>
    </w:p>
    <w:p w14:paraId="78FD4990" w14:textId="04575F1A" w:rsidR="008D66F9" w:rsidRDefault="008D66F9" w:rsidP="008D66F9">
      <w:pPr>
        <w:tabs>
          <w:tab w:val="right" w:pos="9360"/>
        </w:tabs>
        <w:jc w:val="both"/>
        <w:rPr>
          <w:rFonts w:ascii="Arial" w:hAnsi="Arial" w:cs="Arial"/>
          <w:sz w:val="23"/>
          <w:szCs w:val="23"/>
        </w:rPr>
      </w:pPr>
      <w:r w:rsidRPr="008D66F9">
        <w:rPr>
          <w:rFonts w:ascii="Arial" w:hAnsi="Arial" w:cs="Arial"/>
          <w:sz w:val="23"/>
          <w:szCs w:val="23"/>
        </w:rPr>
        <w:t xml:space="preserve">“Phase I benching marks a significant milestone in reducing flood risk for Hancock County. These map changes will bring both regulatory and financial relief for many property owners.” — </w:t>
      </w:r>
      <w:r>
        <w:rPr>
          <w:rFonts w:ascii="Arial" w:hAnsi="Arial" w:cs="Arial"/>
          <w:sz w:val="23"/>
          <w:szCs w:val="23"/>
        </w:rPr>
        <w:t>William Bateson, Hancock County Commissioner</w:t>
      </w:r>
    </w:p>
    <w:p w14:paraId="3F7D626D" w14:textId="77777777" w:rsidR="008D66F9" w:rsidRPr="008D66F9" w:rsidRDefault="008D66F9" w:rsidP="008D66F9">
      <w:pPr>
        <w:tabs>
          <w:tab w:val="right" w:pos="9360"/>
        </w:tabs>
        <w:jc w:val="both"/>
        <w:rPr>
          <w:rFonts w:ascii="Arial" w:hAnsi="Arial" w:cs="Arial"/>
          <w:sz w:val="23"/>
          <w:szCs w:val="23"/>
        </w:rPr>
      </w:pPr>
    </w:p>
    <w:p w14:paraId="27FC00CA" w14:textId="423B6D3D" w:rsidR="008D66F9" w:rsidRPr="008D66F9" w:rsidRDefault="008D66F9" w:rsidP="008D66F9">
      <w:pPr>
        <w:tabs>
          <w:tab w:val="right" w:pos="9360"/>
        </w:tabs>
        <w:jc w:val="both"/>
        <w:rPr>
          <w:rFonts w:ascii="Arial" w:hAnsi="Arial" w:cs="Arial"/>
          <w:sz w:val="23"/>
          <w:szCs w:val="23"/>
        </w:rPr>
      </w:pPr>
      <w:r w:rsidRPr="008D66F9">
        <w:rPr>
          <w:rFonts w:ascii="Arial" w:hAnsi="Arial" w:cs="Arial"/>
          <w:sz w:val="23"/>
          <w:szCs w:val="23"/>
        </w:rPr>
        <w:t>“</w:t>
      </w:r>
      <w:r>
        <w:rPr>
          <w:rFonts w:ascii="Arial" w:hAnsi="Arial" w:cs="Arial"/>
          <w:sz w:val="23"/>
          <w:szCs w:val="23"/>
        </w:rPr>
        <w:t xml:space="preserve">Progress such as this has been a long time in the works. There is more work to be done but this is a significant step forward in resolving flooding in Findlay and Hancock County. </w:t>
      </w:r>
      <w:r w:rsidRPr="008D66F9">
        <w:rPr>
          <w:rFonts w:ascii="Arial" w:hAnsi="Arial" w:cs="Arial"/>
          <w:sz w:val="23"/>
          <w:szCs w:val="23"/>
        </w:rPr>
        <w:t>Our goal has always been to create long</w:t>
      </w:r>
      <w:r w:rsidRPr="008D66F9">
        <w:rPr>
          <w:rFonts w:ascii="Cambria Math" w:hAnsi="Cambria Math" w:cs="Cambria Math"/>
          <w:sz w:val="23"/>
          <w:szCs w:val="23"/>
        </w:rPr>
        <w:t>‑</w:t>
      </w:r>
      <w:r w:rsidRPr="008D66F9">
        <w:rPr>
          <w:rFonts w:ascii="Arial" w:hAnsi="Arial" w:cs="Arial"/>
          <w:sz w:val="23"/>
          <w:szCs w:val="23"/>
        </w:rPr>
        <w:t>term safety</w:t>
      </w:r>
      <w:r>
        <w:rPr>
          <w:rFonts w:ascii="Arial" w:hAnsi="Arial" w:cs="Arial"/>
          <w:sz w:val="23"/>
          <w:szCs w:val="23"/>
        </w:rPr>
        <w:t>, and decreased expense to Findlay and Hancock County residents.”</w:t>
      </w:r>
      <w:r w:rsidRPr="008D66F9">
        <w:rPr>
          <w:rFonts w:ascii="Arial" w:hAnsi="Arial" w:cs="Arial"/>
          <w:sz w:val="23"/>
          <w:szCs w:val="23"/>
        </w:rPr>
        <w:t xml:space="preserve"> — </w:t>
      </w:r>
      <w:r>
        <w:rPr>
          <w:rFonts w:ascii="Arial" w:hAnsi="Arial" w:cs="Arial"/>
          <w:sz w:val="23"/>
          <w:szCs w:val="23"/>
        </w:rPr>
        <w:t>Christina Muryn, Mayor, City of Findlay</w:t>
      </w:r>
    </w:p>
    <w:p w14:paraId="2A698C0C" w14:textId="77777777" w:rsidR="008D66F9" w:rsidRDefault="008D66F9" w:rsidP="008D66F9">
      <w:pPr>
        <w:tabs>
          <w:tab w:val="right" w:pos="9360"/>
        </w:tabs>
        <w:jc w:val="both"/>
        <w:rPr>
          <w:rFonts w:ascii="Arial" w:hAnsi="Arial" w:cs="Arial"/>
          <w:sz w:val="23"/>
          <w:szCs w:val="23"/>
        </w:rPr>
      </w:pPr>
    </w:p>
    <w:p w14:paraId="09B71962" w14:textId="54D8C0FF" w:rsidR="008D66F9" w:rsidRDefault="008D66F9" w:rsidP="008D66F9">
      <w:pPr>
        <w:tabs>
          <w:tab w:val="right" w:pos="9360"/>
        </w:tabs>
        <w:jc w:val="both"/>
        <w:rPr>
          <w:rFonts w:ascii="Arial" w:hAnsi="Arial" w:cs="Arial"/>
          <w:sz w:val="23"/>
          <w:szCs w:val="23"/>
        </w:rPr>
      </w:pPr>
      <w:r w:rsidRPr="008D66F9">
        <w:rPr>
          <w:rFonts w:ascii="Arial" w:hAnsi="Arial" w:cs="Arial"/>
          <w:sz w:val="23"/>
          <w:szCs w:val="23"/>
        </w:rPr>
        <w:t>For more information, for maps showing which parcels are affected</w:t>
      </w:r>
      <w:r w:rsidR="00C75985">
        <w:rPr>
          <w:rFonts w:ascii="Arial" w:hAnsi="Arial" w:cs="Arial"/>
          <w:sz w:val="23"/>
          <w:szCs w:val="23"/>
        </w:rPr>
        <w:t xml:space="preserve"> </w:t>
      </w:r>
      <w:r w:rsidRPr="008D66F9">
        <w:rPr>
          <w:rFonts w:ascii="Arial" w:hAnsi="Arial" w:cs="Arial"/>
          <w:sz w:val="23"/>
          <w:szCs w:val="23"/>
        </w:rPr>
        <w:t xml:space="preserve">visit </w:t>
      </w:r>
      <w:r>
        <w:rPr>
          <w:rFonts w:ascii="Arial" w:hAnsi="Arial" w:cs="Arial"/>
          <w:sz w:val="23"/>
          <w:szCs w:val="23"/>
        </w:rPr>
        <w:t>findlayohio.gov or hancockcountyflooding.com.</w:t>
      </w:r>
    </w:p>
    <w:p w14:paraId="1BACC562" w14:textId="77777777" w:rsidR="008D66F9" w:rsidRPr="008D66F9" w:rsidRDefault="008D66F9" w:rsidP="008D66F9">
      <w:pPr>
        <w:tabs>
          <w:tab w:val="right" w:pos="9360"/>
        </w:tabs>
        <w:jc w:val="both"/>
        <w:rPr>
          <w:rFonts w:ascii="Arial" w:hAnsi="Arial" w:cs="Arial"/>
          <w:sz w:val="23"/>
          <w:szCs w:val="23"/>
        </w:rPr>
      </w:pPr>
    </w:p>
    <w:p w14:paraId="4454E91A" w14:textId="7CDA8384" w:rsidR="008D66F9" w:rsidRPr="008D66F9" w:rsidRDefault="008D66F9" w:rsidP="008D66F9">
      <w:pPr>
        <w:tabs>
          <w:tab w:val="right" w:pos="9360"/>
        </w:tabs>
        <w:jc w:val="both"/>
        <w:rPr>
          <w:rFonts w:ascii="Arial" w:hAnsi="Arial" w:cs="Arial"/>
          <w:b/>
          <w:bCs/>
          <w:sz w:val="23"/>
          <w:szCs w:val="23"/>
        </w:rPr>
      </w:pPr>
      <w:r w:rsidRPr="008D66F9">
        <w:rPr>
          <w:rFonts w:ascii="Arial" w:hAnsi="Arial" w:cs="Arial"/>
          <w:b/>
          <w:bCs/>
          <w:sz w:val="23"/>
          <w:szCs w:val="23"/>
        </w:rPr>
        <w:t>About Hancock County Flood Risk Reduction Program</w:t>
      </w:r>
    </w:p>
    <w:p w14:paraId="77BBE227" w14:textId="77777777" w:rsidR="008D66F9" w:rsidRDefault="008D66F9" w:rsidP="008D66F9">
      <w:pPr>
        <w:tabs>
          <w:tab w:val="right" w:pos="9360"/>
        </w:tabs>
        <w:jc w:val="both"/>
        <w:rPr>
          <w:rFonts w:ascii="Arial" w:hAnsi="Arial" w:cs="Arial"/>
          <w:sz w:val="23"/>
          <w:szCs w:val="23"/>
        </w:rPr>
      </w:pPr>
      <w:r w:rsidRPr="008D66F9">
        <w:rPr>
          <w:rFonts w:ascii="Arial" w:hAnsi="Arial" w:cs="Arial"/>
          <w:sz w:val="23"/>
          <w:szCs w:val="23"/>
        </w:rPr>
        <w:t>Since the 1990s, Hancock County has been experiencing more frequent flooding. To address this, in 2016 the Hancock County Commissioners and Maumee Watershed Conservancy District (MWCD) entered into an agreement to identify flood risk reduction opportunities. Key projects include hydraulic improvements (benching, dam removal, riffle construction), railroad bridge improvements, and dry basin construction, among others.</w:t>
      </w:r>
    </w:p>
    <w:p w14:paraId="47EEF363" w14:textId="77777777" w:rsidR="008D66F9" w:rsidRPr="008D66F9" w:rsidRDefault="008D66F9" w:rsidP="008D66F9">
      <w:pPr>
        <w:tabs>
          <w:tab w:val="right" w:pos="9360"/>
        </w:tabs>
        <w:jc w:val="both"/>
        <w:rPr>
          <w:rFonts w:ascii="Arial" w:hAnsi="Arial" w:cs="Arial"/>
          <w:b/>
          <w:bCs/>
          <w:sz w:val="23"/>
          <w:szCs w:val="23"/>
        </w:rPr>
      </w:pPr>
    </w:p>
    <w:p w14:paraId="7DDFEFE5" w14:textId="77777777" w:rsidR="008D66F9" w:rsidRPr="008D66F9" w:rsidRDefault="008D66F9" w:rsidP="008D66F9">
      <w:pPr>
        <w:tabs>
          <w:tab w:val="right" w:pos="9360"/>
        </w:tabs>
        <w:jc w:val="both"/>
        <w:rPr>
          <w:rFonts w:ascii="Arial" w:hAnsi="Arial" w:cs="Arial"/>
          <w:b/>
          <w:bCs/>
          <w:sz w:val="23"/>
          <w:szCs w:val="23"/>
        </w:rPr>
      </w:pPr>
      <w:r w:rsidRPr="008D66F9">
        <w:rPr>
          <w:rFonts w:ascii="Arial" w:hAnsi="Arial" w:cs="Arial"/>
          <w:b/>
          <w:bCs/>
          <w:sz w:val="23"/>
          <w:szCs w:val="23"/>
        </w:rPr>
        <w:t>Media Note</w:t>
      </w:r>
    </w:p>
    <w:p w14:paraId="48EC8B4E" w14:textId="44C2378F" w:rsidR="002F5CBE" w:rsidRPr="002F5CBE" w:rsidRDefault="008D66F9" w:rsidP="008D66F9">
      <w:pPr>
        <w:tabs>
          <w:tab w:val="right" w:pos="9360"/>
        </w:tabs>
        <w:jc w:val="both"/>
        <w:rPr>
          <w:rFonts w:ascii="Arial" w:hAnsi="Arial" w:cs="Arial"/>
          <w:sz w:val="23"/>
          <w:szCs w:val="23"/>
        </w:rPr>
      </w:pPr>
      <w:r w:rsidRPr="008D66F9">
        <w:rPr>
          <w:rFonts w:ascii="Arial" w:hAnsi="Arial" w:cs="Arial"/>
          <w:sz w:val="23"/>
          <w:szCs w:val="23"/>
        </w:rPr>
        <w:t xml:space="preserve">Attached: Exhibit map marking in yellow the zones proposed for removal from SFHA. </w:t>
      </w:r>
      <w:r w:rsidR="00C75985">
        <w:rPr>
          <w:rFonts w:ascii="Arial" w:hAnsi="Arial" w:cs="Arial"/>
          <w:sz w:val="23"/>
          <w:szCs w:val="23"/>
        </w:rPr>
        <w:t>Specific addresses are not currently available but will be shared once received.</w:t>
      </w:r>
    </w:p>
    <w:p w14:paraId="2825B77F" w14:textId="2E7CCDA6" w:rsidR="00C5348A" w:rsidRPr="00BE42B4" w:rsidRDefault="00C5348A" w:rsidP="004E450E">
      <w:pPr>
        <w:tabs>
          <w:tab w:val="right" w:pos="9360"/>
        </w:tabs>
        <w:jc w:val="both"/>
        <w:rPr>
          <w:rFonts w:ascii="Arial" w:hAnsi="Arial" w:cs="Arial"/>
          <w:sz w:val="22"/>
          <w:szCs w:val="22"/>
        </w:rPr>
      </w:pPr>
      <w:r>
        <w:rPr>
          <w:rFonts w:ascii="Arial" w:hAnsi="Arial" w:cs="Arial"/>
          <w:sz w:val="22"/>
          <w:szCs w:val="22"/>
        </w:rPr>
        <w:tab/>
      </w:r>
    </w:p>
    <w:sectPr w:rsidR="00C5348A" w:rsidRPr="00BE42B4" w:rsidSect="009A4650">
      <w:headerReference w:type="default" r:id="rId8"/>
      <w:footerReference w:type="default" r:id="rId9"/>
      <w:pgSz w:w="12240" w:h="15840" w:code="1"/>
      <w:pgMar w:top="720" w:right="1440" w:bottom="1080" w:left="1440" w:header="720" w:footer="432" w:gutter="0"/>
      <w:paperSrc w:first="260" w:other="26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4BD43" w14:textId="77777777" w:rsidR="000A6A10" w:rsidRDefault="000A6A10">
      <w:r>
        <w:separator/>
      </w:r>
    </w:p>
  </w:endnote>
  <w:endnote w:type="continuationSeparator" w:id="0">
    <w:p w14:paraId="3CD36468" w14:textId="77777777" w:rsidR="000A6A10" w:rsidRDefault="000A6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D4F3F" w14:textId="77777777" w:rsidR="00B14918" w:rsidRPr="00474195" w:rsidRDefault="00B14918" w:rsidP="00474195">
    <w:pPr>
      <w:pStyle w:val="Title"/>
      <w:spacing w:before="100"/>
      <w:rPr>
        <w:rFonts w:ascii="Arial" w:hAnsi="Arial" w:cs="Arial"/>
        <w:sz w:val="18"/>
        <w:szCs w:val="22"/>
      </w:rPr>
    </w:pPr>
    <w:r w:rsidRPr="00474195">
      <w:rPr>
        <w:rFonts w:ascii="Arial" w:hAnsi="Arial" w:cs="Arial"/>
        <w:sz w:val="18"/>
        <w:szCs w:val="22"/>
      </w:rPr>
      <w:t>318 Dorney Plaza, Room 310</w:t>
    </w:r>
    <w:r w:rsidR="0074259F">
      <w:rPr>
        <w:rFonts w:ascii="Arial" w:hAnsi="Arial" w:cs="Arial"/>
        <w:sz w:val="18"/>
        <w:szCs w:val="22"/>
      </w:rPr>
      <w:t xml:space="preserve"> </w:t>
    </w:r>
    <w:r w:rsidRPr="00474195">
      <w:rPr>
        <w:rFonts w:ascii="Arial" w:hAnsi="Arial" w:cs="Arial"/>
        <w:sz w:val="18"/>
        <w:szCs w:val="22"/>
      </w:rPr>
      <w:t>| Findlay, O</w:t>
    </w:r>
    <w:r w:rsidR="00025049">
      <w:rPr>
        <w:rFonts w:ascii="Arial" w:hAnsi="Arial" w:cs="Arial"/>
        <w:sz w:val="18"/>
        <w:szCs w:val="22"/>
      </w:rPr>
      <w:t>hio</w:t>
    </w:r>
    <w:r w:rsidRPr="00474195">
      <w:rPr>
        <w:rFonts w:ascii="Arial" w:hAnsi="Arial" w:cs="Arial"/>
        <w:sz w:val="18"/>
        <w:szCs w:val="22"/>
      </w:rPr>
      <w:t xml:space="preserve"> 45840</w:t>
    </w:r>
    <w:r w:rsidR="00474195" w:rsidRPr="00474195">
      <w:rPr>
        <w:rFonts w:ascii="Arial" w:hAnsi="Arial" w:cs="Arial"/>
        <w:sz w:val="18"/>
        <w:szCs w:val="22"/>
      </w:rPr>
      <w:t xml:space="preserve"> </w:t>
    </w:r>
    <w:r w:rsidR="0074259F">
      <w:rPr>
        <w:rFonts w:ascii="Arial" w:hAnsi="Arial" w:cs="Arial"/>
        <w:sz w:val="18"/>
        <w:szCs w:val="22"/>
      </w:rPr>
      <w:t xml:space="preserve">│ </w:t>
    </w:r>
    <w:r w:rsidR="00474195" w:rsidRPr="00474195">
      <w:rPr>
        <w:rFonts w:ascii="Arial" w:hAnsi="Arial" w:cs="Arial"/>
        <w:sz w:val="18"/>
        <w:szCs w:val="22"/>
      </w:rPr>
      <w:t xml:space="preserve">T: 419-424-7137 </w:t>
    </w:r>
    <w:r w:rsidRPr="00474195">
      <w:rPr>
        <w:rFonts w:ascii="Arial" w:hAnsi="Arial" w:cs="Arial"/>
        <w:sz w:val="18"/>
        <w:szCs w:val="22"/>
      </w:rPr>
      <w:t>| www.findlayohio.</w:t>
    </w:r>
    <w:r w:rsidR="00B0222D">
      <w:rPr>
        <w:rFonts w:ascii="Arial" w:hAnsi="Arial" w:cs="Arial"/>
        <w:sz w:val="18"/>
        <w:szCs w:val="22"/>
      </w:rPr>
      <w:t>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EC462" w14:textId="77777777" w:rsidR="000A6A10" w:rsidRDefault="000A6A10">
      <w:r>
        <w:separator/>
      </w:r>
    </w:p>
  </w:footnote>
  <w:footnote w:type="continuationSeparator" w:id="0">
    <w:p w14:paraId="51363A04" w14:textId="77777777" w:rsidR="000A6A10" w:rsidRDefault="000A6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4C1B7" w14:textId="33F1E5D7" w:rsidR="00C05A03" w:rsidRDefault="00C05A03" w:rsidP="00BE42B4">
    <w:pPr>
      <w:pStyle w:val="Title"/>
      <w:ind w:left="720" w:firstLine="720"/>
      <w:rPr>
        <w:rFonts w:ascii="Arial" w:hAnsi="Arial" w:cs="Arial"/>
        <w:b/>
        <w:color w:val="3A3E3F"/>
        <w:spacing w:val="36"/>
        <w:sz w:val="32"/>
        <w:szCs w:val="44"/>
      </w:rPr>
    </w:pPr>
    <w:r>
      <w:rPr>
        <w:rFonts w:ascii="Franklin Gothic Book" w:hAnsi="Franklin Gothic Book"/>
        <w:b/>
        <w:bCs/>
        <w:noProof/>
        <w:sz w:val="44"/>
        <w:szCs w:val="44"/>
      </w:rPr>
      <w:drawing>
        <wp:inline distT="0" distB="0" distL="0" distR="0" wp14:anchorId="744CCE3F" wp14:editId="6CD0C363">
          <wp:extent cx="696516" cy="685800"/>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516" cy="685800"/>
                  </a:xfrm>
                  <a:prstGeom prst="rect">
                    <a:avLst/>
                  </a:prstGeom>
                  <a:noFill/>
                </pic:spPr>
              </pic:pic>
            </a:graphicData>
          </a:graphic>
        </wp:inline>
      </w:drawing>
    </w:r>
    <w:r>
      <w:rPr>
        <w:rFonts w:ascii="Arial" w:hAnsi="Arial" w:cs="Arial"/>
        <w:b/>
        <w:color w:val="3A3E3F"/>
        <w:spacing w:val="36"/>
        <w:sz w:val="32"/>
        <w:szCs w:val="44"/>
      </w:rPr>
      <w:t xml:space="preserve">    </w:t>
    </w:r>
    <w:r w:rsidR="005F3D54">
      <w:rPr>
        <w:rFonts w:ascii="Arial" w:hAnsi="Arial" w:cs="Arial"/>
        <w:b/>
        <w:noProof/>
        <w:color w:val="3A3E3F"/>
        <w:spacing w:val="36"/>
        <w:sz w:val="32"/>
        <w:szCs w:val="44"/>
      </w:rPr>
      <w:drawing>
        <wp:inline distT="0" distB="0" distL="0" distR="0" wp14:anchorId="620B269F" wp14:editId="60D58078">
          <wp:extent cx="1376173" cy="457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173" cy="457200"/>
                  </a:xfrm>
                  <a:prstGeom prst="rect">
                    <a:avLst/>
                  </a:prstGeom>
                  <a:noFill/>
                </pic:spPr>
              </pic:pic>
            </a:graphicData>
          </a:graphic>
        </wp:inline>
      </w:drawing>
    </w:r>
    <w:r>
      <w:rPr>
        <w:rFonts w:ascii="Arial" w:hAnsi="Arial" w:cs="Arial"/>
        <w:b/>
        <w:color w:val="3A3E3F"/>
        <w:spacing w:val="36"/>
        <w:sz w:val="32"/>
        <w:szCs w:val="44"/>
      </w:rPr>
      <w:t xml:space="preserve">       </w:t>
    </w:r>
    <w:r w:rsidR="005F3D54">
      <w:rPr>
        <w:rFonts w:ascii="Arial" w:hAnsi="Arial" w:cs="Arial"/>
        <w:b/>
        <w:noProof/>
        <w:color w:val="3A3E3F"/>
        <w:spacing w:val="36"/>
        <w:sz w:val="32"/>
        <w:szCs w:val="44"/>
      </w:rPr>
      <w:drawing>
        <wp:inline distT="0" distB="0" distL="0" distR="0" wp14:anchorId="459C7957" wp14:editId="1EE7CEDB">
          <wp:extent cx="1818746" cy="457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18746" cy="457200"/>
                  </a:xfrm>
                  <a:prstGeom prst="rect">
                    <a:avLst/>
                  </a:prstGeom>
                  <a:noFill/>
                </pic:spPr>
              </pic:pic>
            </a:graphicData>
          </a:graphic>
        </wp:inline>
      </w:drawing>
    </w:r>
  </w:p>
  <w:p w14:paraId="1A6199E6" w14:textId="77777777" w:rsidR="00C05A03" w:rsidRDefault="00C05A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3DB3"/>
    <w:multiLevelType w:val="hybridMultilevel"/>
    <w:tmpl w:val="DC1E1042"/>
    <w:lvl w:ilvl="0" w:tplc="82BAB6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17BE8"/>
    <w:multiLevelType w:val="hybridMultilevel"/>
    <w:tmpl w:val="96B87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22A67"/>
    <w:multiLevelType w:val="hybridMultilevel"/>
    <w:tmpl w:val="CF5A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75062D"/>
    <w:multiLevelType w:val="hybridMultilevel"/>
    <w:tmpl w:val="30CE9E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B35FC5"/>
    <w:multiLevelType w:val="hybridMultilevel"/>
    <w:tmpl w:val="CF881D8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663CA3C6">
      <w:numFmt w:val="bullet"/>
      <w:lvlText w:val="-"/>
      <w:lvlJc w:val="left"/>
      <w:pPr>
        <w:tabs>
          <w:tab w:val="num" w:pos="2160"/>
        </w:tabs>
        <w:ind w:left="2160" w:hanging="360"/>
      </w:pPr>
      <w:rPr>
        <w:rFonts w:ascii="Times New Roman" w:eastAsia="Times New Roman" w:hAnsi="Times New Roman"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BA70F9"/>
    <w:multiLevelType w:val="hybridMultilevel"/>
    <w:tmpl w:val="C0B46E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AE8362F"/>
    <w:multiLevelType w:val="hybridMultilevel"/>
    <w:tmpl w:val="DA465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FE061F"/>
    <w:multiLevelType w:val="hybridMultilevel"/>
    <w:tmpl w:val="E8B88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616B0A"/>
    <w:multiLevelType w:val="hybridMultilevel"/>
    <w:tmpl w:val="77D24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4A4A15"/>
    <w:multiLevelType w:val="hybridMultilevel"/>
    <w:tmpl w:val="926A748E"/>
    <w:lvl w:ilvl="0" w:tplc="DA021F2C">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6DF11662"/>
    <w:multiLevelType w:val="hybridMultilevel"/>
    <w:tmpl w:val="AC385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2B6094"/>
    <w:multiLevelType w:val="hybridMultilevel"/>
    <w:tmpl w:val="B220E23C"/>
    <w:lvl w:ilvl="0" w:tplc="DAF81B42">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76183F7A"/>
    <w:multiLevelType w:val="multilevel"/>
    <w:tmpl w:val="B220E23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78760D89"/>
    <w:multiLevelType w:val="hybridMultilevel"/>
    <w:tmpl w:val="C4DCDC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9C4B79"/>
    <w:multiLevelType w:val="hybridMultilevel"/>
    <w:tmpl w:val="4BA44A42"/>
    <w:lvl w:ilvl="0" w:tplc="C90EBE3E">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1018967651">
    <w:abstractNumId w:val="4"/>
  </w:num>
  <w:num w:numId="2" w16cid:durableId="1063412642">
    <w:abstractNumId w:val="3"/>
  </w:num>
  <w:num w:numId="3" w16cid:durableId="1032144313">
    <w:abstractNumId w:val="11"/>
  </w:num>
  <w:num w:numId="4" w16cid:durableId="1165241737">
    <w:abstractNumId w:val="12"/>
  </w:num>
  <w:num w:numId="5" w16cid:durableId="853300744">
    <w:abstractNumId w:val="14"/>
  </w:num>
  <w:num w:numId="6" w16cid:durableId="1993832153">
    <w:abstractNumId w:val="13"/>
  </w:num>
  <w:num w:numId="7" w16cid:durableId="442842748">
    <w:abstractNumId w:val="9"/>
  </w:num>
  <w:num w:numId="8" w16cid:durableId="465659695">
    <w:abstractNumId w:val="5"/>
  </w:num>
  <w:num w:numId="9" w16cid:durableId="1215460866">
    <w:abstractNumId w:val="0"/>
  </w:num>
  <w:num w:numId="10" w16cid:durableId="1014380103">
    <w:abstractNumId w:val="8"/>
  </w:num>
  <w:num w:numId="11" w16cid:durableId="1009680302">
    <w:abstractNumId w:val="2"/>
  </w:num>
  <w:num w:numId="12" w16cid:durableId="448402379">
    <w:abstractNumId w:val="1"/>
  </w:num>
  <w:num w:numId="13" w16cid:durableId="470485852">
    <w:abstractNumId w:val="10"/>
  </w:num>
  <w:num w:numId="14" w16cid:durableId="1604342831">
    <w:abstractNumId w:val="7"/>
  </w:num>
  <w:num w:numId="15" w16cid:durableId="3010828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AA3"/>
    <w:rsid w:val="00002501"/>
    <w:rsid w:val="000130E9"/>
    <w:rsid w:val="00022B2A"/>
    <w:rsid w:val="0002440B"/>
    <w:rsid w:val="00025049"/>
    <w:rsid w:val="00036A27"/>
    <w:rsid w:val="000665CC"/>
    <w:rsid w:val="00087064"/>
    <w:rsid w:val="00087A39"/>
    <w:rsid w:val="000A0AFB"/>
    <w:rsid w:val="000A6A10"/>
    <w:rsid w:val="000A7162"/>
    <w:rsid w:val="000C213D"/>
    <w:rsid w:val="000F24F3"/>
    <w:rsid w:val="000F39B6"/>
    <w:rsid w:val="000F6013"/>
    <w:rsid w:val="00100079"/>
    <w:rsid w:val="00111FCB"/>
    <w:rsid w:val="00120810"/>
    <w:rsid w:val="00121C76"/>
    <w:rsid w:val="00135ADD"/>
    <w:rsid w:val="00136E78"/>
    <w:rsid w:val="001949DF"/>
    <w:rsid w:val="001A71C1"/>
    <w:rsid w:val="001B4F05"/>
    <w:rsid w:val="001C6B0B"/>
    <w:rsid w:val="001D0649"/>
    <w:rsid w:val="001D5A50"/>
    <w:rsid w:val="001F202E"/>
    <w:rsid w:val="00203614"/>
    <w:rsid w:val="00227975"/>
    <w:rsid w:val="00232886"/>
    <w:rsid w:val="00235EE2"/>
    <w:rsid w:val="00236ADD"/>
    <w:rsid w:val="00252390"/>
    <w:rsid w:val="00261D2C"/>
    <w:rsid w:val="00267251"/>
    <w:rsid w:val="00275296"/>
    <w:rsid w:val="0028670A"/>
    <w:rsid w:val="00294DAE"/>
    <w:rsid w:val="002C2D80"/>
    <w:rsid w:val="002C64EA"/>
    <w:rsid w:val="002D0D4A"/>
    <w:rsid w:val="002F4666"/>
    <w:rsid w:val="002F5CBE"/>
    <w:rsid w:val="00321682"/>
    <w:rsid w:val="003353B4"/>
    <w:rsid w:val="00336B84"/>
    <w:rsid w:val="00357062"/>
    <w:rsid w:val="00367419"/>
    <w:rsid w:val="00371D05"/>
    <w:rsid w:val="003726E6"/>
    <w:rsid w:val="003848B0"/>
    <w:rsid w:val="003A2E7F"/>
    <w:rsid w:val="003B1DB8"/>
    <w:rsid w:val="003B45E2"/>
    <w:rsid w:val="00434A26"/>
    <w:rsid w:val="0044319B"/>
    <w:rsid w:val="00444DB9"/>
    <w:rsid w:val="004578CF"/>
    <w:rsid w:val="00472DF2"/>
    <w:rsid w:val="00474195"/>
    <w:rsid w:val="0048610F"/>
    <w:rsid w:val="00491E2A"/>
    <w:rsid w:val="004B2356"/>
    <w:rsid w:val="004C61C2"/>
    <w:rsid w:val="004E450E"/>
    <w:rsid w:val="004F042E"/>
    <w:rsid w:val="004F3EA6"/>
    <w:rsid w:val="0051196F"/>
    <w:rsid w:val="00511F1E"/>
    <w:rsid w:val="00515915"/>
    <w:rsid w:val="00530D72"/>
    <w:rsid w:val="00537D38"/>
    <w:rsid w:val="00563830"/>
    <w:rsid w:val="00563840"/>
    <w:rsid w:val="0057116E"/>
    <w:rsid w:val="00580722"/>
    <w:rsid w:val="005A6F70"/>
    <w:rsid w:val="005B65C0"/>
    <w:rsid w:val="005D39E5"/>
    <w:rsid w:val="005D44D6"/>
    <w:rsid w:val="005F0E3A"/>
    <w:rsid w:val="005F3D54"/>
    <w:rsid w:val="00612DE1"/>
    <w:rsid w:val="006153A0"/>
    <w:rsid w:val="00645F2C"/>
    <w:rsid w:val="006606DF"/>
    <w:rsid w:val="006731C9"/>
    <w:rsid w:val="006A3ED5"/>
    <w:rsid w:val="006A4424"/>
    <w:rsid w:val="006C1B55"/>
    <w:rsid w:val="006D2138"/>
    <w:rsid w:val="006D33FD"/>
    <w:rsid w:val="0071472E"/>
    <w:rsid w:val="00725968"/>
    <w:rsid w:val="00732703"/>
    <w:rsid w:val="007417E6"/>
    <w:rsid w:val="0074259F"/>
    <w:rsid w:val="00752AB7"/>
    <w:rsid w:val="00780B8A"/>
    <w:rsid w:val="00784821"/>
    <w:rsid w:val="00792F17"/>
    <w:rsid w:val="00794530"/>
    <w:rsid w:val="007B43D3"/>
    <w:rsid w:val="007C1D03"/>
    <w:rsid w:val="007D450C"/>
    <w:rsid w:val="007E6FE8"/>
    <w:rsid w:val="007E7F78"/>
    <w:rsid w:val="007F356C"/>
    <w:rsid w:val="007F439B"/>
    <w:rsid w:val="00801BD5"/>
    <w:rsid w:val="00805274"/>
    <w:rsid w:val="00851683"/>
    <w:rsid w:val="00856895"/>
    <w:rsid w:val="008601E9"/>
    <w:rsid w:val="00862E3E"/>
    <w:rsid w:val="008631E1"/>
    <w:rsid w:val="008635C4"/>
    <w:rsid w:val="00876A8C"/>
    <w:rsid w:val="008802EB"/>
    <w:rsid w:val="00890753"/>
    <w:rsid w:val="008A4270"/>
    <w:rsid w:val="008B32EA"/>
    <w:rsid w:val="008D66F9"/>
    <w:rsid w:val="008F286D"/>
    <w:rsid w:val="0091028A"/>
    <w:rsid w:val="00924A74"/>
    <w:rsid w:val="00933AE2"/>
    <w:rsid w:val="009564D6"/>
    <w:rsid w:val="00965E64"/>
    <w:rsid w:val="0098017C"/>
    <w:rsid w:val="00981956"/>
    <w:rsid w:val="00985992"/>
    <w:rsid w:val="0099388D"/>
    <w:rsid w:val="009A4650"/>
    <w:rsid w:val="009F076F"/>
    <w:rsid w:val="00A049F0"/>
    <w:rsid w:val="00A07564"/>
    <w:rsid w:val="00A13D34"/>
    <w:rsid w:val="00A540A7"/>
    <w:rsid w:val="00A60178"/>
    <w:rsid w:val="00A60280"/>
    <w:rsid w:val="00A70D0D"/>
    <w:rsid w:val="00A80D38"/>
    <w:rsid w:val="00AA746F"/>
    <w:rsid w:val="00AB7A4A"/>
    <w:rsid w:val="00AC5087"/>
    <w:rsid w:val="00B0222D"/>
    <w:rsid w:val="00B14918"/>
    <w:rsid w:val="00B172F1"/>
    <w:rsid w:val="00B21D18"/>
    <w:rsid w:val="00B31FAA"/>
    <w:rsid w:val="00B413A2"/>
    <w:rsid w:val="00B442D3"/>
    <w:rsid w:val="00B55FAD"/>
    <w:rsid w:val="00B57FF6"/>
    <w:rsid w:val="00B66AF2"/>
    <w:rsid w:val="00B66D07"/>
    <w:rsid w:val="00B84055"/>
    <w:rsid w:val="00B937A7"/>
    <w:rsid w:val="00BC3A3B"/>
    <w:rsid w:val="00BE42B4"/>
    <w:rsid w:val="00C034E7"/>
    <w:rsid w:val="00C05A03"/>
    <w:rsid w:val="00C20AD1"/>
    <w:rsid w:val="00C26B8E"/>
    <w:rsid w:val="00C4008F"/>
    <w:rsid w:val="00C5261F"/>
    <w:rsid w:val="00C5348A"/>
    <w:rsid w:val="00C730C9"/>
    <w:rsid w:val="00C748E7"/>
    <w:rsid w:val="00C75985"/>
    <w:rsid w:val="00C80A85"/>
    <w:rsid w:val="00C924F6"/>
    <w:rsid w:val="00CC47F3"/>
    <w:rsid w:val="00CD224F"/>
    <w:rsid w:val="00CF7C43"/>
    <w:rsid w:val="00D02EDD"/>
    <w:rsid w:val="00D11109"/>
    <w:rsid w:val="00D21BB5"/>
    <w:rsid w:val="00D22E51"/>
    <w:rsid w:val="00D25567"/>
    <w:rsid w:val="00D34AA3"/>
    <w:rsid w:val="00D350B8"/>
    <w:rsid w:val="00D35CDB"/>
    <w:rsid w:val="00D4633E"/>
    <w:rsid w:val="00D771A2"/>
    <w:rsid w:val="00D850B0"/>
    <w:rsid w:val="00D87F03"/>
    <w:rsid w:val="00D906F1"/>
    <w:rsid w:val="00DA552F"/>
    <w:rsid w:val="00DB0A28"/>
    <w:rsid w:val="00DB35D7"/>
    <w:rsid w:val="00DB515A"/>
    <w:rsid w:val="00DC43F7"/>
    <w:rsid w:val="00DD3D3D"/>
    <w:rsid w:val="00DD45C6"/>
    <w:rsid w:val="00DF3AD8"/>
    <w:rsid w:val="00E03407"/>
    <w:rsid w:val="00E15D8F"/>
    <w:rsid w:val="00E30DE6"/>
    <w:rsid w:val="00E351A5"/>
    <w:rsid w:val="00E41307"/>
    <w:rsid w:val="00E43933"/>
    <w:rsid w:val="00E459E1"/>
    <w:rsid w:val="00E736AA"/>
    <w:rsid w:val="00E839A9"/>
    <w:rsid w:val="00E90C45"/>
    <w:rsid w:val="00E94440"/>
    <w:rsid w:val="00EA098E"/>
    <w:rsid w:val="00EA64A0"/>
    <w:rsid w:val="00EC56F7"/>
    <w:rsid w:val="00EC58A9"/>
    <w:rsid w:val="00ED0AB5"/>
    <w:rsid w:val="00ED70BF"/>
    <w:rsid w:val="00EE5C75"/>
    <w:rsid w:val="00EF7B53"/>
    <w:rsid w:val="00F026B0"/>
    <w:rsid w:val="00F47A8F"/>
    <w:rsid w:val="00F53781"/>
    <w:rsid w:val="00F56322"/>
    <w:rsid w:val="00F74521"/>
    <w:rsid w:val="00F90065"/>
    <w:rsid w:val="00F932D9"/>
    <w:rsid w:val="00FC63DD"/>
    <w:rsid w:val="00FC707C"/>
    <w:rsid w:val="00FE1CB7"/>
    <w:rsid w:val="00FE422B"/>
    <w:rsid w:val="00FE7B69"/>
    <w:rsid w:val="00FF2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BBD082"/>
  <w15:chartTrackingRefBased/>
  <w15:docId w15:val="{E5CC6131-8FCC-464A-866F-5AF48B546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tabs>
        <w:tab w:val="left" w:pos="-720"/>
        <w:tab w:val="left" w:pos="1080"/>
      </w:tabs>
      <w:suppressAutoHyphens/>
      <w:ind w:left="360" w:right="360"/>
      <w:jc w:val="both"/>
      <w:outlineLvl w:val="1"/>
    </w:pPr>
    <w:rPr>
      <w:rFonts w:cs="Arial"/>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pPr>
      <w:jc w:val="center"/>
    </w:pPr>
    <w:rPr>
      <w:rFonts w:ascii="CG Times" w:hAnsi="CG Times"/>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EndnoteText">
    <w:name w:val="endnote text"/>
    <w:basedOn w:val="Normal"/>
    <w:semiHidden/>
    <w:pPr>
      <w:widowControl w:val="0"/>
      <w:overflowPunct w:val="0"/>
      <w:autoSpaceDE w:val="0"/>
      <w:autoSpaceDN w:val="0"/>
      <w:adjustRightInd w:val="0"/>
      <w:textAlignment w:val="baseline"/>
    </w:pPr>
    <w:rPr>
      <w:rFonts w:ascii="Courier" w:hAnsi="Courier"/>
      <w:sz w:val="24"/>
    </w:rPr>
  </w:style>
  <w:style w:type="paragraph" w:styleId="BodyText">
    <w:name w:val="Body Text"/>
    <w:basedOn w:val="Normal"/>
    <w:pPr>
      <w:widowControl w:val="0"/>
      <w:tabs>
        <w:tab w:val="left" w:pos="-720"/>
      </w:tabs>
      <w:suppressAutoHyphens/>
      <w:overflowPunct w:val="0"/>
      <w:autoSpaceDE w:val="0"/>
      <w:autoSpaceDN w:val="0"/>
      <w:adjustRightInd w:val="0"/>
      <w:jc w:val="both"/>
      <w:textAlignment w:val="baseline"/>
    </w:pPr>
    <w:rPr>
      <w:rFonts w:ascii="Arial" w:hAnsi="Arial" w:cs="Arial"/>
      <w:spacing w:val="-3"/>
      <w:sz w:val="24"/>
    </w:rPr>
  </w:style>
  <w:style w:type="paragraph" w:styleId="Subtitle">
    <w:name w:val="Subtitle"/>
    <w:basedOn w:val="Normal"/>
    <w:qFormat/>
    <w:pPr>
      <w:tabs>
        <w:tab w:val="left" w:pos="720"/>
        <w:tab w:val="left" w:pos="1980"/>
      </w:tabs>
      <w:ind w:left="360" w:right="360"/>
      <w:jc w:val="center"/>
    </w:pPr>
    <w:rPr>
      <w:sz w:val="24"/>
    </w:rPr>
  </w:style>
  <w:style w:type="paragraph" w:customStyle="1" w:styleId="Style1">
    <w:name w:val="Style 1"/>
    <w:rsid w:val="00DB0A28"/>
    <w:pPr>
      <w:widowControl w:val="0"/>
      <w:autoSpaceDE w:val="0"/>
      <w:autoSpaceDN w:val="0"/>
      <w:adjustRightInd w:val="0"/>
    </w:pPr>
  </w:style>
  <w:style w:type="paragraph" w:customStyle="1" w:styleId="Style2">
    <w:name w:val="Style 2"/>
    <w:rsid w:val="00DB0A28"/>
    <w:pPr>
      <w:widowControl w:val="0"/>
      <w:autoSpaceDE w:val="0"/>
      <w:autoSpaceDN w:val="0"/>
      <w:spacing w:before="288"/>
    </w:pPr>
    <w:rPr>
      <w:sz w:val="22"/>
      <w:szCs w:val="22"/>
    </w:rPr>
  </w:style>
  <w:style w:type="character" w:customStyle="1" w:styleId="CharacterStyle1">
    <w:name w:val="Character Style 1"/>
    <w:rsid w:val="00DB0A28"/>
    <w:rPr>
      <w:sz w:val="22"/>
      <w:szCs w:val="22"/>
    </w:rPr>
  </w:style>
  <w:style w:type="character" w:customStyle="1" w:styleId="TitleChar">
    <w:name w:val="Title Char"/>
    <w:link w:val="Title"/>
    <w:rsid w:val="00890753"/>
    <w:rPr>
      <w:rFonts w:ascii="CG Times" w:hAnsi="CG Times"/>
      <w:sz w:val="24"/>
    </w:rPr>
  </w:style>
  <w:style w:type="paragraph" w:styleId="BalloonText">
    <w:name w:val="Balloon Text"/>
    <w:basedOn w:val="Normal"/>
    <w:link w:val="BalloonTextChar"/>
    <w:uiPriority w:val="99"/>
    <w:semiHidden/>
    <w:unhideWhenUsed/>
    <w:rsid w:val="000F6013"/>
    <w:rPr>
      <w:rFonts w:ascii="Segoe UI" w:hAnsi="Segoe UI" w:cs="Segoe UI"/>
      <w:sz w:val="18"/>
      <w:szCs w:val="18"/>
    </w:rPr>
  </w:style>
  <w:style w:type="character" w:customStyle="1" w:styleId="BalloonTextChar">
    <w:name w:val="Balloon Text Char"/>
    <w:link w:val="BalloonText"/>
    <w:uiPriority w:val="99"/>
    <w:semiHidden/>
    <w:rsid w:val="000F6013"/>
    <w:rPr>
      <w:rFonts w:ascii="Segoe UI" w:hAnsi="Segoe UI" w:cs="Segoe UI"/>
      <w:sz w:val="18"/>
      <w:szCs w:val="18"/>
    </w:rPr>
  </w:style>
  <w:style w:type="paragraph" w:styleId="ListParagraph">
    <w:name w:val="List Paragraph"/>
    <w:basedOn w:val="Normal"/>
    <w:uiPriority w:val="34"/>
    <w:qFormat/>
    <w:rsid w:val="003B1DB8"/>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7E6FE8"/>
    <w:rPr>
      <w:color w:val="0563C1" w:themeColor="hyperlink"/>
      <w:u w:val="single"/>
    </w:rPr>
  </w:style>
  <w:style w:type="character" w:styleId="UnresolvedMention">
    <w:name w:val="Unresolved Mention"/>
    <w:basedOn w:val="DefaultParagraphFont"/>
    <w:uiPriority w:val="99"/>
    <w:semiHidden/>
    <w:unhideWhenUsed/>
    <w:rsid w:val="007E6FE8"/>
    <w:rPr>
      <w:color w:val="605E5C"/>
      <w:shd w:val="clear" w:color="auto" w:fill="E1DFDD"/>
    </w:rPr>
  </w:style>
  <w:style w:type="table" w:styleId="TableGrid">
    <w:name w:val="Table Grid"/>
    <w:basedOn w:val="TableNormal"/>
    <w:uiPriority w:val="59"/>
    <w:rsid w:val="00486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05A03"/>
  </w:style>
  <w:style w:type="paragraph" w:styleId="NormalWeb">
    <w:name w:val="Normal (Web)"/>
    <w:basedOn w:val="Normal"/>
    <w:uiPriority w:val="99"/>
    <w:unhideWhenUsed/>
    <w:rsid w:val="004E450E"/>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345683">
      <w:bodyDiv w:val="1"/>
      <w:marLeft w:val="0"/>
      <w:marRight w:val="0"/>
      <w:marTop w:val="0"/>
      <w:marBottom w:val="0"/>
      <w:divBdr>
        <w:top w:val="none" w:sz="0" w:space="0" w:color="auto"/>
        <w:left w:val="none" w:sz="0" w:space="0" w:color="auto"/>
        <w:bottom w:val="none" w:sz="0" w:space="0" w:color="auto"/>
        <w:right w:val="none" w:sz="0" w:space="0" w:color="auto"/>
      </w:divBdr>
    </w:div>
    <w:div w:id="86344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41290-F49B-4108-B949-8BA8D8CA7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January 13, 2004</vt:lpstr>
    </vt:vector>
  </TitlesOfParts>
  <Company>city of findlay</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13, 2004</dc:title>
  <dc:subject/>
  <dc:creator>city of findlay</dc:creator>
  <cp:keywords/>
  <dc:description/>
  <cp:lastModifiedBy>Christina Muryn</cp:lastModifiedBy>
  <cp:revision>7</cp:revision>
  <cp:lastPrinted>2020-02-05T15:21:00Z</cp:lastPrinted>
  <dcterms:created xsi:type="dcterms:W3CDTF">2025-09-17T15:09:00Z</dcterms:created>
  <dcterms:modified xsi:type="dcterms:W3CDTF">2025-09-18T14:45:00Z</dcterms:modified>
</cp:coreProperties>
</file>