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25 most deadly drugs..</w:t>
      </w:r>
      <w:bookmarkStart w:id="0" w:name="_GoBack"/>
      <w:bookmarkEnd w:id="0"/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1. Acetaminophen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 xml:space="preserve"> Tylenol,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Mapap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Feverall</w:t>
      </w:r>
      <w:proofErr w:type="spellEnd"/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Pain relief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Taken in excess, combined with alcohol, other pain meds containing acetaminophen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> Long-term liver damage, liver toxicity, death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2. Alcohol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> Beer, wine, liquor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Recreation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Combined with benzodiazepines, many other drugs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> Liver damage and failure, high blood pressure, death due to impaired motor functions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3. Anti-Anxiety Medication (benzodiazepines)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 xml:space="preserve"> Xanax, Valium,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Klonopin</w:t>
      </w:r>
      <w:proofErr w:type="spellEnd"/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Anxiety treatment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Combined with barbiturates, opioids, or alcohol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> Overdose, dementia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4. Anticoagulants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> Warfarin, Xarelto, Heparin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Blood clot risk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Combined with Aspirin and other blood-thinning drugs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> Internal and external bleeding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5. Antidepressants (SSRIs)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lastRenderedPageBreak/>
        <w:t>• Common names/types:</w:t>
      </w:r>
      <w:r>
        <w:rPr>
          <w:rFonts w:ascii="Arial" w:hAnsi="Arial" w:cs="Arial"/>
          <w:color w:val="333333"/>
          <w:sz w:val="21"/>
          <w:szCs w:val="21"/>
        </w:rPr>
        <w:t> Prozac, Lexapro, Paxil, Zoloft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Treatment of depression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Other drugs that affect serotonin levels, opioids, NSAIDs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> Serotonin syndrome, suicide, internal bleeding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6. Anti-hypertensive Drugs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> Hytrin, Cardura, Minipress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High blood pressure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Combined with NSAIDs and diuretics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> High blood pressure, acute renal failure, cerebrovascular complications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7. Bromocriptine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Parlodel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Cycloset</w:t>
      </w:r>
      <w:proofErr w:type="spellEnd"/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Tumors, Parkinson's disease, type 2 diabetes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Combined with pseudoephedrine (Sudafed)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> Bleeding in the stomach, seizures, death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8. Clarithromycin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> Clarithromycin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Antibiotic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Combined with calcium channel blockers, statins like Lipitor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> Fatal heart complications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9. Clozapine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> Clozaril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Schizophrenia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Combined with alcohol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lastRenderedPageBreak/>
        <w:t>• Risks:</w:t>
      </w:r>
      <w:r>
        <w:rPr>
          <w:rFonts w:ascii="Arial" w:hAnsi="Arial" w:cs="Arial"/>
          <w:color w:val="333333"/>
          <w:sz w:val="21"/>
          <w:szCs w:val="21"/>
        </w:rPr>
        <w:t> gastrointestinal hypomotility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10. Cocaine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> Crack, coke, blow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Recreational stimulant, numbing agent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Taken in excess, combined with heroin and opiates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> Death, heart attack, increased blood pressure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11. Colchicine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Colcrys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Mitigare</w:t>
      </w:r>
      <w:proofErr w:type="spellEnd"/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Gout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Combined with strong CYP3A4 Inhibitors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> Colchicine toxicity leading to death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12. Cough Medicine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> NyQuil, Robitussin, Theraflu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Cough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Combined with antihistamines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> Amplified sedative state leading to accidents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13. Digoxin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> Lanoxin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Heart conditions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Combined with Quinidine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> Nausea, vomiting, death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14. Heroin and Semi-synthetic Opioids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> Percocet, Vicodin, Oxycontin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lastRenderedPageBreak/>
        <w:t>• Common uses:</w:t>
      </w:r>
      <w:r>
        <w:rPr>
          <w:rFonts w:ascii="Arial" w:hAnsi="Arial" w:cs="Arial"/>
          <w:color w:val="333333"/>
          <w:sz w:val="21"/>
          <w:szCs w:val="21"/>
        </w:rPr>
        <w:t> Pain relief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Taken in excess, combined with cocaine and other drugs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> Accidental overdose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15. MDMA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> Ecstasy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Recreational euphoria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Taken in excess, combined with alcohol, SSRIs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> Serotonin syndrome, shock, coma, death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16. Methamphetamine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 xml:space="preserve"> Crystal meth,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Desoxyn</w:t>
      </w:r>
      <w:proofErr w:type="spellEnd"/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Stimulant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Accidental overdose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> Teeth loss, brain damage, death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17. Methotrexate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Trexall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Rasuvo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Otrexup</w:t>
      </w:r>
      <w:proofErr w:type="spellEnd"/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Cancer, psoriasis, rheumatoid arthritis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Taken too frequently, combined with Probenecid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> Liver, lung, or kidney damage, death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18. NSAIDs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> Advil, Aspirin, Ibuprofen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Pain relief, inflammation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Combined with other blood-thinners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> Heart attack, stroke, Reye syndrome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lastRenderedPageBreak/>
        <w:t>19. Selective Serotonin Reuptake Inhibitors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> Celexa, Zoloft, Prozac, Lexapro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Depression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Combined with other drugs that affect Serotonin levels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> Serotonin syndrome, increased risk of suicide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20. Sildenafil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 xml:space="preserve"> Viagra,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Revatio</w:t>
      </w:r>
      <w:proofErr w:type="spellEnd"/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Erectile dysfunction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Combined with isosorbide mononitrate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 xml:space="preserve"> Death, dramatic blood pressure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drop</w:t>
      </w:r>
      <w:proofErr w:type="gramEnd"/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21. Spironolactone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 xml:space="preserve"> Aldactone,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CaroSpir</w:t>
      </w:r>
      <w:proofErr w:type="spellEnd"/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High blood pressure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Combined with Potassium chloride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> hyperkalemia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22. Statins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 xml:space="preserve"> Lipitor,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Lescol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Crestor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Heart disease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Combined with Fluconazole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> muscle weakness and kidney damage or failure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23. Synthetic Opioids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 xml:space="preserve"> Fentanyl,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Actiq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Duragesic, Meperidine, Methadone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Pain relief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lastRenderedPageBreak/>
        <w:t>• Deadly when:</w:t>
      </w:r>
      <w:r>
        <w:rPr>
          <w:rFonts w:ascii="Arial" w:hAnsi="Arial" w:cs="Arial"/>
          <w:color w:val="333333"/>
          <w:sz w:val="21"/>
          <w:szCs w:val="21"/>
        </w:rPr>
        <w:t> Taken in excess, combined with cocaine and other drugs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> Accidental overdose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24. TMP/SMX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 xml:space="preserve"> Bactrim,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Sulfatrim</w:t>
      </w:r>
      <w:proofErr w:type="spellEnd"/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Antibiotic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Combined with antihypertensive agents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> Hyperkalemia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25. Tobacco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names/types:</w:t>
      </w:r>
      <w:r>
        <w:rPr>
          <w:rFonts w:ascii="Arial" w:hAnsi="Arial" w:cs="Arial"/>
          <w:color w:val="333333"/>
          <w:sz w:val="21"/>
          <w:szCs w:val="21"/>
        </w:rPr>
        <w:t> Cigarettes, cigars, pipe tobacco, chew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Common uses:</w:t>
      </w:r>
      <w:r>
        <w:rPr>
          <w:rFonts w:ascii="Arial" w:hAnsi="Arial" w:cs="Arial"/>
          <w:color w:val="333333"/>
          <w:sz w:val="21"/>
          <w:szCs w:val="21"/>
        </w:rPr>
        <w:t> Stimulant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Deadly when:</w:t>
      </w:r>
      <w:r>
        <w:rPr>
          <w:rFonts w:ascii="Arial" w:hAnsi="Arial" w:cs="Arial"/>
          <w:color w:val="333333"/>
          <w:sz w:val="21"/>
          <w:szCs w:val="21"/>
        </w:rPr>
        <w:t> Used over time</w:t>
      </w:r>
    </w:p>
    <w:p w:rsidR="00ED3613" w:rsidRDefault="00ED3613" w:rsidP="00ED3613">
      <w:pPr>
        <w:pStyle w:val="p-text"/>
        <w:shd w:val="clear" w:color="auto" w:fill="FAFAFA"/>
        <w:spacing w:before="0" w:beforeAutospacing="0" w:after="225" w:afterAutospacing="0" w:line="330" w:lineRule="atLeast"/>
        <w:ind w:left="90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• Risks:</w:t>
      </w:r>
      <w:r>
        <w:rPr>
          <w:rFonts w:ascii="Arial" w:hAnsi="Arial" w:cs="Arial"/>
          <w:color w:val="333333"/>
          <w:sz w:val="21"/>
          <w:szCs w:val="21"/>
        </w:rPr>
        <w:t> Lung disease, heart disease, cancer</w:t>
      </w:r>
    </w:p>
    <w:p w:rsidR="0031502A" w:rsidRDefault="0031502A"/>
    <w:sectPr w:rsidR="0031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13"/>
    <w:rsid w:val="0031502A"/>
    <w:rsid w:val="00E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5613"/>
  <w15:chartTrackingRefBased/>
  <w15:docId w15:val="{58BE8D6A-C50F-4DAF-9E2D-DEFF816C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-text">
    <w:name w:val="p-text"/>
    <w:basedOn w:val="Normal"/>
    <w:rsid w:val="00ED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3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2019-08-14T00:18:00Z</dcterms:created>
  <dcterms:modified xsi:type="dcterms:W3CDTF">2019-08-14T00:21:00Z</dcterms:modified>
</cp:coreProperties>
</file>