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Health and Safety Policy</w:t>
      </w:r>
    </w:p>
    <w:p>
      <w:r>
        <w:br/>
      </w:r>
    </w:p>
    <w:p>
      <w:pPr>
        <w:pStyle w:val="Heading2"/>
      </w:pPr>
      <w:r>
        <w:t>Purpose</w:t>
      </w:r>
    </w:p>
    <w:p>
      <w:pPr>
        <w:pStyle w:val="ListBullet"/>
      </w:pPr>
      <w:r>
        <w:t>To ensure a safe and healthy working and learning environment.</w:t>
      </w:r>
    </w:p>
    <w:p>
      <w:pPr>
        <w:pStyle w:val="ListBullet"/>
      </w:pPr>
      <w:r>
        <w:t>To comply with the Health and Safety at Work Act 1974.</w:t>
      </w:r>
    </w:p>
    <w:p>
      <w:pPr>
        <w:pStyle w:val="Heading2"/>
      </w:pPr>
      <w:r>
        <w:t>Scope</w:t>
      </w:r>
    </w:p>
    <w:p>
      <w:pPr>
        <w:pStyle w:val="ListBullet"/>
      </w:pPr>
      <w:r>
        <w:t>Applies to all LCP Nexus™ operations, staff, learners, and third parties.</w:t>
      </w:r>
    </w:p>
    <w:p>
      <w:pPr>
        <w:pStyle w:val="Heading2"/>
      </w:pPr>
      <w:r>
        <w:t>Responsibilities</w:t>
      </w:r>
    </w:p>
    <w:p>
      <w:pPr>
        <w:pStyle w:val="ListBullet"/>
      </w:pPr>
      <w:r>
        <w:t>Leaders must ensure systems are in place and reviewed.</w:t>
      </w:r>
    </w:p>
    <w:p>
      <w:pPr>
        <w:pStyle w:val="ListBullet"/>
      </w:pPr>
      <w:r>
        <w:t>Staff must follow procedures and report risks.</w:t>
      </w:r>
    </w:p>
    <w:p>
      <w:pPr>
        <w:pStyle w:val="ListBullet"/>
      </w:pPr>
      <w:r>
        <w:t>Learners must act responsibly and report incidents.</w:t>
      </w:r>
    </w:p>
    <w:p>
      <w:pPr>
        <w:pStyle w:val="Heading2"/>
      </w:pPr>
      <w:r>
        <w:t>Procedures</w:t>
      </w:r>
    </w:p>
    <w:p>
      <w:pPr>
        <w:pStyle w:val="ListBullet"/>
      </w:pPr>
      <w:r>
        <w:t>Risk assessments are conducted and updated regularly.</w:t>
      </w:r>
    </w:p>
    <w:p>
      <w:pPr>
        <w:pStyle w:val="ListBullet"/>
      </w:pPr>
      <w:r>
        <w:t>Training is provided to staff and learners.</w:t>
      </w:r>
    </w:p>
    <w:p>
      <w:pPr>
        <w:pStyle w:val="ListBullet"/>
      </w:pPr>
      <w:r>
        <w:t>Emergency plans are in place and reviewed annually.</w:t>
      </w:r>
    </w:p>
    <w:p>
      <w:pPr>
        <w:pStyle w:val="Heading2"/>
      </w:pPr>
      <w:r>
        <w:t>Monitoring and Review</w:t>
      </w:r>
    </w:p>
    <w:p>
      <w:pPr>
        <w:pStyle w:val="ListBullet"/>
      </w:pPr>
      <w:r>
        <w:t>Policy reviewed annually or after major incidents or changes.</w:t>
      </w:r>
    </w:p>
    <w:p>
      <w:pPr>
        <w:pStyle w:val="Heading2"/>
      </w:pPr>
      <w:r>
        <w:br/>
        <w:t>Version Control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Version</w:t>
            </w:r>
          </w:p>
        </w:tc>
        <w:tc>
          <w:tcPr>
            <w:tcW w:type="dxa" w:w="1728"/>
          </w:tcPr>
          <w:p>
            <w:r>
              <w:t>Date</w:t>
            </w:r>
          </w:p>
        </w:tc>
        <w:tc>
          <w:tcPr>
            <w:tcW w:type="dxa" w:w="1728"/>
          </w:tcPr>
          <w:p>
            <w:r>
              <w:t>Author</w:t>
            </w:r>
          </w:p>
        </w:tc>
        <w:tc>
          <w:tcPr>
            <w:tcW w:type="dxa" w:w="1728"/>
          </w:tcPr>
          <w:p>
            <w:r>
              <w:t>Change Description</w:t>
            </w:r>
          </w:p>
        </w:tc>
        <w:tc>
          <w:tcPr>
            <w:tcW w:type="dxa" w:w="1728"/>
          </w:tcPr>
          <w:p>
            <w:r>
              <w:t>Next Review</w:t>
            </w:r>
          </w:p>
        </w:tc>
      </w:tr>
      <w:tr>
        <w:tc>
          <w:tcPr>
            <w:tcW w:type="dxa" w:w="1728"/>
          </w:tcPr>
          <w:p>
            <w:r>
              <w:t>1.0</w:t>
            </w:r>
          </w:p>
        </w:tc>
        <w:tc>
          <w:tcPr>
            <w:tcW w:type="dxa" w:w="1728"/>
          </w:tcPr>
          <w:p>
            <w:r>
              <w:t>25/07/2025</w:t>
            </w:r>
          </w:p>
        </w:tc>
        <w:tc>
          <w:tcPr>
            <w:tcW w:type="dxa" w:w="1728"/>
          </w:tcPr>
          <w:p>
            <w:r>
              <w:t>Dr Peter Inkpen</w:t>
            </w:r>
          </w:p>
        </w:tc>
        <w:tc>
          <w:tcPr>
            <w:tcW w:type="dxa" w:w="1728"/>
          </w:tcPr>
          <w:p>
            <w:r>
              <w:t>Initial issue</w:t>
            </w:r>
          </w:p>
        </w:tc>
        <w:tc>
          <w:tcPr>
            <w:tcW w:type="dxa" w:w="1728"/>
          </w:tcPr>
          <w:p>
            <w:r>
              <w:t>25/07/2026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