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Equality and Diversity Policy</w:t>
      </w:r>
    </w:p>
    <w:p>
      <w:r>
        <w:br/>
      </w:r>
    </w:p>
    <w:p>
      <w:pPr>
        <w:pStyle w:val="Heading2"/>
      </w:pPr>
      <w:r>
        <w:t>Purpose</w:t>
      </w:r>
    </w:p>
    <w:p>
      <w:pPr>
        <w:pStyle w:val="ListBullet"/>
      </w:pPr>
      <w:r>
        <w:t>To foster an inclusive environment that values and respects diversity.</w:t>
      </w:r>
    </w:p>
    <w:p>
      <w:pPr>
        <w:pStyle w:val="ListBullet"/>
      </w:pPr>
      <w:r>
        <w:t>To ensure all stakeholders are treated fairly and with dignity.</w:t>
      </w:r>
    </w:p>
    <w:p>
      <w:pPr>
        <w:pStyle w:val="Heading2"/>
      </w:pPr>
      <w:r>
        <w:t>Scope</w:t>
      </w:r>
    </w:p>
    <w:p>
      <w:pPr>
        <w:pStyle w:val="ListBullet"/>
      </w:pPr>
      <w:r>
        <w:t>This policy applies to all LCP Nexus™ staff, learners, and contractors.</w:t>
      </w:r>
    </w:p>
    <w:p>
      <w:pPr>
        <w:pStyle w:val="Heading2"/>
      </w:pPr>
      <w:r>
        <w:t>Key Commitments</w:t>
      </w:r>
    </w:p>
    <w:p>
      <w:pPr>
        <w:pStyle w:val="ListBullet"/>
      </w:pPr>
      <w:r>
        <w:t>Promote equality of opportunity.</w:t>
      </w:r>
    </w:p>
    <w:p>
      <w:pPr>
        <w:pStyle w:val="ListBullet"/>
      </w:pPr>
      <w:r>
        <w:t>Comply with the Equality Act 2010.</w:t>
      </w:r>
    </w:p>
    <w:p>
      <w:pPr>
        <w:pStyle w:val="ListBullet"/>
      </w:pPr>
      <w:r>
        <w:t>Provide reasonable adjustments.</w:t>
      </w:r>
    </w:p>
    <w:p>
      <w:pPr>
        <w:pStyle w:val="ListBullet"/>
      </w:pPr>
      <w:r>
        <w:t>Tackle discriminatory behaviours promptly.</w:t>
      </w:r>
    </w:p>
    <w:p>
      <w:pPr>
        <w:pStyle w:val="ListBullet"/>
      </w:pPr>
      <w:r>
        <w:t>Deliver EDI training to staff and contractors.</w:t>
      </w:r>
    </w:p>
    <w:p>
      <w:pPr>
        <w:pStyle w:val="Heading2"/>
      </w:pPr>
      <w:r>
        <w:t>Responsibilities</w:t>
      </w:r>
    </w:p>
    <w:p>
      <w:pPr>
        <w:pStyle w:val="ListBullet"/>
      </w:pPr>
      <w:r>
        <w:t>Leaders ensure policy implementation and review.</w:t>
      </w:r>
    </w:p>
    <w:p>
      <w:pPr>
        <w:pStyle w:val="ListBullet"/>
      </w:pPr>
      <w:r>
        <w:t>Staff uphold inclusive practices.</w:t>
      </w:r>
    </w:p>
    <w:p>
      <w:pPr>
        <w:pStyle w:val="ListBullet"/>
      </w:pPr>
      <w:r>
        <w:t>Learners respect diversity and report concerns.</w:t>
      </w:r>
    </w:p>
    <w:p>
      <w:pPr>
        <w:pStyle w:val="Heading2"/>
      </w:pPr>
      <w:r>
        <w:t>Monitoring and Review</w:t>
      </w:r>
    </w:p>
    <w:p>
      <w:pPr>
        <w:pStyle w:val="ListBullet"/>
      </w:pPr>
      <w:r>
        <w:t>The policy is reviewed annually or after significant changes in law or practice.</w:t>
      </w:r>
    </w:p>
    <w:p>
      <w:pPr>
        <w:pStyle w:val="Heading2"/>
      </w:pPr>
      <w:r>
        <w:br/>
        <w:t>Version Control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Version</w:t>
            </w:r>
          </w:p>
        </w:tc>
        <w:tc>
          <w:tcPr>
            <w:tcW w:type="dxa" w:w="1728"/>
          </w:tcPr>
          <w:p>
            <w:r>
              <w:t>Date</w:t>
            </w:r>
          </w:p>
        </w:tc>
        <w:tc>
          <w:tcPr>
            <w:tcW w:type="dxa" w:w="1728"/>
          </w:tcPr>
          <w:p>
            <w:r>
              <w:t>Author</w:t>
            </w:r>
          </w:p>
        </w:tc>
        <w:tc>
          <w:tcPr>
            <w:tcW w:type="dxa" w:w="1728"/>
          </w:tcPr>
          <w:p>
            <w:r>
              <w:t>Change Description</w:t>
            </w:r>
          </w:p>
        </w:tc>
        <w:tc>
          <w:tcPr>
            <w:tcW w:type="dxa" w:w="1728"/>
          </w:tcPr>
          <w:p>
            <w:r>
              <w:t>Next Review</w:t>
            </w:r>
          </w:p>
        </w:tc>
      </w:tr>
      <w:tr>
        <w:tc>
          <w:tcPr>
            <w:tcW w:type="dxa" w:w="1728"/>
          </w:tcPr>
          <w:p>
            <w:r>
              <w:t>1.0</w:t>
            </w:r>
          </w:p>
        </w:tc>
        <w:tc>
          <w:tcPr>
            <w:tcW w:type="dxa" w:w="1728"/>
          </w:tcPr>
          <w:p>
            <w:r>
              <w:t>25/07/2025</w:t>
            </w:r>
          </w:p>
        </w:tc>
        <w:tc>
          <w:tcPr>
            <w:tcW w:type="dxa" w:w="1728"/>
          </w:tcPr>
          <w:p>
            <w:r>
              <w:t>Dr Peter Inkpen</w:t>
            </w:r>
          </w:p>
        </w:tc>
        <w:tc>
          <w:tcPr>
            <w:tcW w:type="dxa" w:w="1728"/>
          </w:tcPr>
          <w:p>
            <w:r>
              <w:t>Initial issue</w:t>
            </w:r>
          </w:p>
        </w:tc>
        <w:tc>
          <w:tcPr>
            <w:tcW w:type="dxa" w:w="1728"/>
          </w:tcPr>
          <w:p>
            <w:r>
              <w:t>25/07/2026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