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929F" w14:textId="77777777" w:rsidR="00CC24EE" w:rsidRDefault="00CC24EE" w:rsidP="00CC24EE">
      <w:pPr>
        <w:widowControl w:val="0"/>
        <w:autoSpaceDE w:val="0"/>
        <w:autoSpaceDN w:val="0"/>
        <w:spacing w:before="226" w:after="0" w:line="240" w:lineRule="auto"/>
        <w:ind w:left="101"/>
        <w:jc w:val="both"/>
        <w:rPr>
          <w:rFonts w:ascii="Arial" w:eastAsia="Arial" w:hAnsi="Arial" w:cs="Arial"/>
          <w:b/>
          <w:bCs/>
          <w:color w:val="404040"/>
        </w:rPr>
      </w:pPr>
      <w:r>
        <w:rPr>
          <w:rFonts w:ascii="Arial" w:eastAsia="Arial" w:hAnsi="Arial" w:cs="Arial"/>
          <w:b/>
          <w:bCs/>
          <w:color w:val="404040"/>
        </w:rPr>
        <w:t>NANCY FURNEY</w:t>
      </w:r>
    </w:p>
    <w:p w14:paraId="46833BB5" w14:textId="67D7D16F" w:rsidR="00CC24EE" w:rsidRDefault="00CC24EE" w:rsidP="007E607C">
      <w:pPr>
        <w:widowControl w:val="0"/>
        <w:autoSpaceDE w:val="0"/>
        <w:autoSpaceDN w:val="0"/>
        <w:spacing w:after="0" w:line="240" w:lineRule="auto"/>
        <w:ind w:left="101"/>
        <w:jc w:val="both"/>
        <w:rPr>
          <w:rFonts w:ascii="Arial" w:eastAsia="Arial" w:hAnsi="Arial" w:cs="Arial"/>
          <w:color w:val="404040"/>
        </w:rPr>
      </w:pPr>
      <w:r>
        <w:rPr>
          <w:rFonts w:ascii="Arial" w:eastAsia="Arial" w:hAnsi="Arial" w:cs="Arial"/>
          <w:color w:val="404040"/>
        </w:rPr>
        <w:t>Shareholder</w:t>
      </w:r>
      <w:r w:rsidR="00FC1FB2">
        <w:rPr>
          <w:rFonts w:ascii="Arial" w:eastAsia="Arial" w:hAnsi="Arial" w:cs="Arial"/>
          <w:color w:val="404040"/>
        </w:rPr>
        <w:t>, W</w:t>
      </w:r>
      <w:r w:rsidR="0008753C">
        <w:rPr>
          <w:rFonts w:ascii="Arial" w:eastAsia="Arial" w:hAnsi="Arial" w:cs="Arial"/>
          <w:color w:val="404040"/>
        </w:rPr>
        <w:t>instead P.C.</w:t>
      </w:r>
    </w:p>
    <w:p w14:paraId="06AEA95A" w14:textId="70326980" w:rsidR="007E607C" w:rsidRDefault="007E607C" w:rsidP="007E607C">
      <w:pPr>
        <w:widowControl w:val="0"/>
        <w:autoSpaceDE w:val="0"/>
        <w:autoSpaceDN w:val="0"/>
        <w:spacing w:after="0" w:line="240" w:lineRule="auto"/>
        <w:ind w:left="101"/>
        <w:jc w:val="both"/>
        <w:rPr>
          <w:rFonts w:ascii="Arial" w:eastAsia="Arial" w:hAnsi="Arial" w:cs="Arial"/>
          <w:color w:val="404040"/>
        </w:rPr>
      </w:pPr>
      <w:hyperlink r:id="rId6" w:history="1">
        <w:r w:rsidRPr="001A39C5">
          <w:rPr>
            <w:rStyle w:val="Hyperlink"/>
            <w:rFonts w:ascii="Arial" w:eastAsia="Arial" w:hAnsi="Arial" w:cs="Arial"/>
          </w:rPr>
          <w:t>nfurney@winstead.com</w:t>
        </w:r>
      </w:hyperlink>
    </w:p>
    <w:p w14:paraId="12B35D98" w14:textId="5DDA5C9F" w:rsidR="007E607C" w:rsidRDefault="007E607C" w:rsidP="007E607C">
      <w:pPr>
        <w:widowControl w:val="0"/>
        <w:autoSpaceDE w:val="0"/>
        <w:autoSpaceDN w:val="0"/>
        <w:spacing w:after="0" w:line="240" w:lineRule="auto"/>
        <w:ind w:left="101"/>
        <w:jc w:val="both"/>
        <w:rPr>
          <w:rFonts w:ascii="Arial" w:eastAsia="Arial" w:hAnsi="Arial" w:cs="Arial"/>
          <w:color w:val="404040"/>
        </w:rPr>
      </w:pPr>
      <w:r>
        <w:rPr>
          <w:rFonts w:ascii="Arial" w:eastAsia="Arial" w:hAnsi="Arial" w:cs="Arial"/>
          <w:color w:val="404040"/>
        </w:rPr>
        <w:t>214-745-5228</w:t>
      </w:r>
    </w:p>
    <w:p w14:paraId="6C195D78" w14:textId="327B7D50" w:rsidR="00C63003" w:rsidRPr="00C63003" w:rsidRDefault="00C63003" w:rsidP="00C63003">
      <w:pPr>
        <w:widowControl w:val="0"/>
        <w:autoSpaceDE w:val="0"/>
        <w:autoSpaceDN w:val="0"/>
        <w:spacing w:before="226" w:after="0" w:line="240" w:lineRule="auto"/>
        <w:ind w:left="100"/>
        <w:jc w:val="both"/>
        <w:rPr>
          <w:rFonts w:ascii="Arial" w:eastAsia="Arial" w:hAnsi="Arial" w:cs="Arial"/>
          <w:color w:val="404040"/>
        </w:rPr>
      </w:pPr>
      <w:r w:rsidRPr="00C63003">
        <w:rPr>
          <w:rFonts w:ascii="Arial" w:eastAsia="Arial" w:hAnsi="Arial" w:cs="Arial"/>
          <w:color w:val="404040"/>
        </w:rPr>
        <w:t>Nancy Furney has extensive experience in all types of executive compensation</w:t>
      </w:r>
      <w:r w:rsidRPr="00C63003">
        <w:rPr>
          <w:rFonts w:ascii="Arial" w:eastAsia="Arial" w:hAnsi="Arial" w:cs="Arial"/>
          <w:color w:val="404040"/>
          <w:spacing w:val="-5"/>
        </w:rPr>
        <w:t xml:space="preserve"> </w:t>
      </w:r>
      <w:r w:rsidRPr="00C63003">
        <w:rPr>
          <w:rFonts w:ascii="Arial" w:eastAsia="Arial" w:hAnsi="Arial" w:cs="Arial"/>
          <w:color w:val="404040"/>
        </w:rPr>
        <w:t>and</w:t>
      </w:r>
      <w:r w:rsidRPr="00C63003">
        <w:rPr>
          <w:rFonts w:ascii="Arial" w:eastAsia="Arial" w:hAnsi="Arial" w:cs="Arial"/>
          <w:color w:val="404040"/>
          <w:spacing w:val="-5"/>
        </w:rPr>
        <w:t xml:space="preserve"> </w:t>
      </w:r>
      <w:r w:rsidRPr="00C63003">
        <w:rPr>
          <w:rFonts w:ascii="Arial" w:eastAsia="Arial" w:hAnsi="Arial" w:cs="Arial"/>
          <w:color w:val="404040"/>
        </w:rPr>
        <w:t>employee</w:t>
      </w:r>
      <w:r w:rsidRPr="00C63003">
        <w:rPr>
          <w:rFonts w:ascii="Arial" w:eastAsia="Arial" w:hAnsi="Arial" w:cs="Arial"/>
          <w:color w:val="404040"/>
          <w:spacing w:val="-5"/>
        </w:rPr>
        <w:t xml:space="preserve"> </w:t>
      </w:r>
      <w:r w:rsidRPr="00C63003">
        <w:rPr>
          <w:rFonts w:ascii="Arial" w:eastAsia="Arial" w:hAnsi="Arial" w:cs="Arial"/>
          <w:color w:val="404040"/>
        </w:rPr>
        <w:t>benefit</w:t>
      </w:r>
      <w:r w:rsidRPr="00C63003">
        <w:rPr>
          <w:rFonts w:ascii="Arial" w:eastAsia="Arial" w:hAnsi="Arial" w:cs="Arial"/>
          <w:color w:val="404040"/>
          <w:spacing w:val="-5"/>
        </w:rPr>
        <w:t xml:space="preserve"> </w:t>
      </w:r>
      <w:r w:rsidRPr="00C63003">
        <w:rPr>
          <w:rFonts w:ascii="Arial" w:eastAsia="Arial" w:hAnsi="Arial" w:cs="Arial"/>
          <w:color w:val="404040"/>
        </w:rPr>
        <w:t>matters.</w:t>
      </w:r>
      <w:r w:rsidRPr="00C63003">
        <w:rPr>
          <w:rFonts w:ascii="Arial" w:eastAsia="Arial" w:hAnsi="Arial" w:cs="Arial"/>
          <w:color w:val="404040"/>
          <w:spacing w:val="-5"/>
        </w:rPr>
        <w:t xml:space="preserve"> </w:t>
      </w:r>
      <w:r w:rsidRPr="00C63003">
        <w:rPr>
          <w:rFonts w:ascii="Arial" w:eastAsia="Arial" w:hAnsi="Arial" w:cs="Arial"/>
          <w:color w:val="404040"/>
        </w:rPr>
        <w:t>She</w:t>
      </w:r>
      <w:r w:rsidRPr="00C63003">
        <w:rPr>
          <w:rFonts w:ascii="Arial" w:eastAsia="Arial" w:hAnsi="Arial" w:cs="Arial"/>
          <w:color w:val="404040"/>
          <w:spacing w:val="-5"/>
        </w:rPr>
        <w:t xml:space="preserve"> </w:t>
      </w:r>
      <w:r w:rsidRPr="00C63003">
        <w:rPr>
          <w:rFonts w:ascii="Arial" w:eastAsia="Arial" w:hAnsi="Arial" w:cs="Arial"/>
          <w:color w:val="404040"/>
        </w:rPr>
        <w:t>represents</w:t>
      </w:r>
      <w:r w:rsidRPr="00C63003">
        <w:rPr>
          <w:rFonts w:ascii="Arial" w:eastAsia="Arial" w:hAnsi="Arial" w:cs="Arial"/>
          <w:color w:val="404040"/>
          <w:spacing w:val="-5"/>
        </w:rPr>
        <w:t xml:space="preserve"> </w:t>
      </w:r>
      <w:r w:rsidRPr="00C63003">
        <w:rPr>
          <w:rFonts w:ascii="Arial" w:eastAsia="Arial" w:hAnsi="Arial" w:cs="Arial"/>
          <w:color w:val="404040"/>
        </w:rPr>
        <w:t>a</w:t>
      </w:r>
      <w:r w:rsidRPr="00C63003">
        <w:rPr>
          <w:rFonts w:ascii="Arial" w:eastAsia="Arial" w:hAnsi="Arial" w:cs="Arial"/>
          <w:color w:val="404040"/>
          <w:spacing w:val="-5"/>
        </w:rPr>
        <w:t xml:space="preserve"> </w:t>
      </w:r>
      <w:r w:rsidRPr="00C63003">
        <w:rPr>
          <w:rFonts w:ascii="Arial" w:eastAsia="Arial" w:hAnsi="Arial" w:cs="Arial"/>
          <w:color w:val="404040"/>
        </w:rPr>
        <w:t>diverse</w:t>
      </w:r>
      <w:r w:rsidRPr="00C63003">
        <w:rPr>
          <w:rFonts w:ascii="Arial" w:eastAsia="Arial" w:hAnsi="Arial" w:cs="Arial"/>
          <w:color w:val="404040"/>
          <w:spacing w:val="-5"/>
        </w:rPr>
        <w:t xml:space="preserve"> </w:t>
      </w:r>
      <w:r w:rsidRPr="00C63003">
        <w:rPr>
          <w:rFonts w:ascii="Arial" w:eastAsia="Arial" w:hAnsi="Arial" w:cs="Arial"/>
          <w:color w:val="404040"/>
        </w:rPr>
        <w:t xml:space="preserve">group of clients, including Fortune 500 companies, </w:t>
      </w:r>
      <w:proofErr w:type="gramStart"/>
      <w:r w:rsidRPr="00C63003">
        <w:rPr>
          <w:rFonts w:ascii="Arial" w:eastAsia="Arial" w:hAnsi="Arial" w:cs="Arial"/>
          <w:color w:val="404040"/>
        </w:rPr>
        <w:t>privately-held</w:t>
      </w:r>
      <w:proofErr w:type="gramEnd"/>
      <w:r w:rsidRPr="00C63003">
        <w:rPr>
          <w:rFonts w:ascii="Arial" w:eastAsia="Arial" w:hAnsi="Arial" w:cs="Arial"/>
          <w:color w:val="404040"/>
        </w:rPr>
        <w:t xml:space="preserve"> companies, governmental and quasi-governmental entities and tax-exempt entities.</w:t>
      </w:r>
    </w:p>
    <w:p w14:paraId="2423B344" w14:textId="77777777" w:rsidR="00C63003" w:rsidRPr="00C63003" w:rsidRDefault="00C63003" w:rsidP="00C63003">
      <w:pPr>
        <w:widowControl w:val="0"/>
        <w:tabs>
          <w:tab w:val="left" w:pos="675"/>
        </w:tabs>
        <w:autoSpaceDE w:val="0"/>
        <w:autoSpaceDN w:val="0"/>
        <w:spacing w:after="0" w:line="240" w:lineRule="auto"/>
        <w:ind w:right="82"/>
        <w:jc w:val="both"/>
        <w:rPr>
          <w:rFonts w:ascii="Arial" w:eastAsia="Arial" w:hAnsi="Arial" w:cs="Arial"/>
          <w:color w:val="404040"/>
        </w:rPr>
      </w:pPr>
    </w:p>
    <w:p w14:paraId="32CCA673" w14:textId="70FC17D6" w:rsidR="00C63003" w:rsidRDefault="00C63003" w:rsidP="00C63003">
      <w:pPr>
        <w:tabs>
          <w:tab w:val="left" w:pos="675"/>
        </w:tabs>
        <w:ind w:left="90" w:right="82"/>
        <w:jc w:val="both"/>
        <w:rPr>
          <w:rFonts w:ascii="Arial" w:eastAsia="Arial" w:hAnsi="Arial" w:cs="Arial"/>
          <w:color w:val="404040"/>
        </w:rPr>
      </w:pPr>
      <w:r w:rsidRPr="00C63003">
        <w:rPr>
          <w:rFonts w:ascii="Arial" w:eastAsia="Arial" w:hAnsi="Arial" w:cs="Arial"/>
          <w:color w:val="404040"/>
        </w:rPr>
        <w:t xml:space="preserve">Nancy </w:t>
      </w:r>
      <w:r>
        <w:rPr>
          <w:rFonts w:ascii="Arial" w:eastAsia="Arial" w:hAnsi="Arial" w:cs="Arial"/>
          <w:color w:val="404040"/>
        </w:rPr>
        <w:t xml:space="preserve">has represented </w:t>
      </w:r>
      <w:r w:rsidRPr="00C63003">
        <w:rPr>
          <w:rFonts w:ascii="Arial" w:eastAsia="Arial" w:hAnsi="Arial" w:cs="Arial"/>
          <w:color w:val="404040"/>
        </w:rPr>
        <w:t>both private sector and public employers, including a major airline and a publicly-held banking group, assisting with the implementation and administration of tax-qualified retirement plans (pension plans, profit sharing plans, 401(k) plans, cash balance plans</w:t>
      </w:r>
      <w:r w:rsidRPr="00C63003">
        <w:rPr>
          <w:rFonts w:ascii="Arial" w:eastAsia="Arial" w:hAnsi="Arial" w:cs="Arial"/>
          <w:color w:val="404040"/>
          <w:spacing w:val="-5"/>
        </w:rPr>
        <w:t xml:space="preserve"> </w:t>
      </w:r>
      <w:r w:rsidRPr="00C63003">
        <w:rPr>
          <w:rFonts w:ascii="Arial" w:eastAsia="Arial" w:hAnsi="Arial" w:cs="Arial"/>
          <w:color w:val="404040"/>
        </w:rPr>
        <w:t>and</w:t>
      </w:r>
      <w:r w:rsidRPr="00C63003">
        <w:rPr>
          <w:rFonts w:ascii="Arial" w:eastAsia="Arial" w:hAnsi="Arial" w:cs="Arial"/>
          <w:color w:val="404040"/>
          <w:spacing w:val="-4"/>
        </w:rPr>
        <w:t xml:space="preserve"> </w:t>
      </w:r>
      <w:r w:rsidRPr="00C63003">
        <w:rPr>
          <w:rFonts w:ascii="Arial" w:eastAsia="Arial" w:hAnsi="Arial" w:cs="Arial"/>
          <w:color w:val="404040"/>
        </w:rPr>
        <w:t>ESOPs),</w:t>
      </w:r>
      <w:r w:rsidRPr="00C63003">
        <w:rPr>
          <w:rFonts w:ascii="Arial" w:eastAsia="Arial" w:hAnsi="Arial" w:cs="Arial"/>
          <w:color w:val="404040"/>
          <w:spacing w:val="-5"/>
        </w:rPr>
        <w:t xml:space="preserve"> </w:t>
      </w:r>
      <w:r w:rsidRPr="00C63003">
        <w:rPr>
          <w:rFonts w:ascii="Arial" w:eastAsia="Arial" w:hAnsi="Arial" w:cs="Arial"/>
          <w:color w:val="404040"/>
        </w:rPr>
        <w:t>as</w:t>
      </w:r>
      <w:r w:rsidRPr="00C63003">
        <w:rPr>
          <w:rFonts w:ascii="Arial" w:eastAsia="Arial" w:hAnsi="Arial" w:cs="Arial"/>
          <w:color w:val="404040"/>
          <w:spacing w:val="-4"/>
        </w:rPr>
        <w:t xml:space="preserve"> </w:t>
      </w:r>
      <w:r w:rsidRPr="00C63003">
        <w:rPr>
          <w:rFonts w:ascii="Arial" w:eastAsia="Arial" w:hAnsi="Arial" w:cs="Arial"/>
          <w:color w:val="404040"/>
        </w:rPr>
        <w:t>well</w:t>
      </w:r>
      <w:r w:rsidRPr="00C63003">
        <w:rPr>
          <w:rFonts w:ascii="Arial" w:eastAsia="Arial" w:hAnsi="Arial" w:cs="Arial"/>
          <w:color w:val="404040"/>
          <w:spacing w:val="-4"/>
        </w:rPr>
        <w:t xml:space="preserve"> </w:t>
      </w:r>
      <w:r w:rsidRPr="00C63003">
        <w:rPr>
          <w:rFonts w:ascii="Arial" w:eastAsia="Arial" w:hAnsi="Arial" w:cs="Arial"/>
          <w:color w:val="404040"/>
        </w:rPr>
        <w:t>as</w:t>
      </w:r>
      <w:r w:rsidRPr="00C63003">
        <w:rPr>
          <w:rFonts w:ascii="Arial" w:eastAsia="Arial" w:hAnsi="Arial" w:cs="Arial"/>
          <w:color w:val="404040"/>
          <w:spacing w:val="-4"/>
        </w:rPr>
        <w:t xml:space="preserve"> </w:t>
      </w:r>
      <w:r w:rsidRPr="00C63003">
        <w:rPr>
          <w:rFonts w:ascii="Arial" w:eastAsia="Arial" w:hAnsi="Arial" w:cs="Arial"/>
          <w:color w:val="404040"/>
        </w:rPr>
        <w:t>health</w:t>
      </w:r>
      <w:r w:rsidRPr="00C63003">
        <w:rPr>
          <w:rFonts w:ascii="Arial" w:eastAsia="Arial" w:hAnsi="Arial" w:cs="Arial"/>
          <w:color w:val="404040"/>
          <w:spacing w:val="-4"/>
        </w:rPr>
        <w:t xml:space="preserve"> </w:t>
      </w:r>
      <w:r w:rsidRPr="00C63003">
        <w:rPr>
          <w:rFonts w:ascii="Arial" w:eastAsia="Arial" w:hAnsi="Arial" w:cs="Arial"/>
          <w:color w:val="404040"/>
        </w:rPr>
        <w:t>and</w:t>
      </w:r>
      <w:r w:rsidRPr="00C63003">
        <w:rPr>
          <w:rFonts w:ascii="Arial" w:eastAsia="Arial" w:hAnsi="Arial" w:cs="Arial"/>
          <w:color w:val="404040"/>
          <w:spacing w:val="-4"/>
        </w:rPr>
        <w:t xml:space="preserve"> </w:t>
      </w:r>
      <w:r w:rsidRPr="00C63003">
        <w:rPr>
          <w:rFonts w:ascii="Arial" w:eastAsia="Arial" w:hAnsi="Arial" w:cs="Arial"/>
          <w:color w:val="404040"/>
        </w:rPr>
        <w:t>welfare</w:t>
      </w:r>
      <w:r w:rsidRPr="00C63003">
        <w:rPr>
          <w:rFonts w:ascii="Arial" w:eastAsia="Arial" w:hAnsi="Arial" w:cs="Arial"/>
          <w:color w:val="404040"/>
          <w:spacing w:val="-4"/>
        </w:rPr>
        <w:t xml:space="preserve"> </w:t>
      </w:r>
      <w:r w:rsidRPr="00C63003">
        <w:rPr>
          <w:rFonts w:ascii="Arial" w:eastAsia="Arial" w:hAnsi="Arial" w:cs="Arial"/>
          <w:color w:val="404040"/>
        </w:rPr>
        <w:t>plans</w:t>
      </w:r>
      <w:r w:rsidRPr="00C63003">
        <w:rPr>
          <w:rFonts w:ascii="Arial" w:eastAsia="Arial" w:hAnsi="Arial" w:cs="Arial"/>
          <w:color w:val="404040"/>
          <w:spacing w:val="-4"/>
        </w:rPr>
        <w:t xml:space="preserve"> </w:t>
      </w:r>
      <w:r w:rsidRPr="00C63003">
        <w:rPr>
          <w:rFonts w:ascii="Arial" w:eastAsia="Arial" w:hAnsi="Arial" w:cs="Arial"/>
          <w:color w:val="404040"/>
        </w:rPr>
        <w:t>(including</w:t>
      </w:r>
      <w:r w:rsidRPr="00C63003">
        <w:rPr>
          <w:rFonts w:ascii="Arial" w:eastAsia="Arial" w:hAnsi="Arial" w:cs="Arial"/>
          <w:color w:val="404040"/>
          <w:spacing w:val="-4"/>
        </w:rPr>
        <w:t xml:space="preserve"> </w:t>
      </w:r>
      <w:r w:rsidRPr="00C63003">
        <w:rPr>
          <w:rFonts w:ascii="Arial" w:eastAsia="Arial" w:hAnsi="Arial" w:cs="Arial"/>
          <w:color w:val="404040"/>
        </w:rPr>
        <w:t xml:space="preserve">self- insured medical plans, cafeteria plans and fringe benefit plans) and advising with respect to employee benefits issues in private placements, initial public offerings, spin-offs, </w:t>
      </w:r>
      <w:r>
        <w:rPr>
          <w:rFonts w:ascii="Arial" w:eastAsia="Arial" w:hAnsi="Arial" w:cs="Arial"/>
          <w:color w:val="404040"/>
        </w:rPr>
        <w:t xml:space="preserve">as well as </w:t>
      </w:r>
      <w:r w:rsidRPr="00C63003">
        <w:rPr>
          <w:rFonts w:ascii="Arial" w:eastAsia="Arial" w:hAnsi="Arial" w:cs="Arial"/>
          <w:color w:val="404040"/>
        </w:rPr>
        <w:t>corporate restructurings and financings</w:t>
      </w:r>
      <w:r>
        <w:rPr>
          <w:rFonts w:ascii="Arial" w:eastAsia="Arial" w:hAnsi="Arial" w:cs="Arial"/>
          <w:color w:val="404040"/>
        </w:rPr>
        <w:t xml:space="preserve"> and mergers and acquisitions. She assists with management employment agreements and executive incentive programs.</w:t>
      </w:r>
    </w:p>
    <w:p w14:paraId="381D7A07" w14:textId="3AC60B98" w:rsidR="00C63003" w:rsidRDefault="00C63003" w:rsidP="00C63003">
      <w:pPr>
        <w:tabs>
          <w:tab w:val="left" w:pos="675"/>
        </w:tabs>
        <w:ind w:left="90" w:right="82"/>
        <w:jc w:val="both"/>
        <w:rPr>
          <w:rFonts w:ascii="Arial" w:eastAsia="Arial" w:hAnsi="Arial" w:cs="Arial"/>
          <w:color w:val="404040"/>
        </w:rPr>
      </w:pPr>
      <w:r>
        <w:rPr>
          <w:rFonts w:ascii="Arial" w:eastAsia="Arial" w:hAnsi="Arial" w:cs="Arial"/>
          <w:color w:val="404040"/>
        </w:rPr>
        <w:t xml:space="preserve">Nancy assists clients with the structuring and preparation of equity incentive arrangements (including stock purchase plans, stock option arrangements, restricted stock and restricted stock unit and phantom equity plans), deferred compensation arrangements (including Section 409A compliance), </w:t>
      </w:r>
      <w:proofErr w:type="gramStart"/>
      <w:r>
        <w:rPr>
          <w:rFonts w:ascii="Arial" w:eastAsia="Arial" w:hAnsi="Arial" w:cs="Arial"/>
          <w:color w:val="404040"/>
        </w:rPr>
        <w:t>nonqualified</w:t>
      </w:r>
      <w:proofErr w:type="gramEnd"/>
      <w:r>
        <w:rPr>
          <w:rFonts w:ascii="Arial" w:eastAsia="Arial" w:hAnsi="Arial" w:cs="Arial"/>
          <w:color w:val="404040"/>
        </w:rPr>
        <w:t xml:space="preserve"> plans and related executive compensation programs.</w:t>
      </w:r>
    </w:p>
    <w:p w14:paraId="5AB7A35A" w14:textId="122B6F58" w:rsidR="00C63003" w:rsidRDefault="00C63003" w:rsidP="00C63003">
      <w:pPr>
        <w:tabs>
          <w:tab w:val="left" w:pos="675"/>
        </w:tabs>
        <w:ind w:left="90" w:right="82"/>
        <w:jc w:val="both"/>
        <w:rPr>
          <w:rFonts w:ascii="Arial" w:eastAsia="Arial" w:hAnsi="Arial" w:cs="Arial"/>
          <w:color w:val="404040"/>
        </w:rPr>
      </w:pPr>
      <w:r>
        <w:rPr>
          <w:rFonts w:ascii="Arial" w:eastAsia="Arial" w:hAnsi="Arial" w:cs="Arial"/>
          <w:color w:val="404040"/>
        </w:rPr>
        <w:t>She represents tax-exempt entities, including major hospital groups, advising on tax-qualified plans, Section 457 plans, Section 403(b) plans, HIPAA compliance for group health plans and wellness programs and other employee welfare plan issues.</w:t>
      </w:r>
    </w:p>
    <w:p w14:paraId="275B4D86" w14:textId="02DC8508" w:rsidR="00C63003" w:rsidRDefault="00C63003" w:rsidP="00C63003">
      <w:pPr>
        <w:tabs>
          <w:tab w:val="left" w:pos="675"/>
        </w:tabs>
        <w:ind w:left="90" w:right="82"/>
        <w:jc w:val="both"/>
        <w:rPr>
          <w:rFonts w:ascii="Arial" w:eastAsia="Arial" w:hAnsi="Arial" w:cs="Arial"/>
          <w:color w:val="404040"/>
        </w:rPr>
      </w:pPr>
      <w:r>
        <w:rPr>
          <w:rFonts w:ascii="Arial" w:eastAsia="Arial" w:hAnsi="Arial" w:cs="Arial"/>
          <w:color w:val="404040"/>
        </w:rPr>
        <w:t>Nancy advises on fiduciary compliance and represents clients in complex ERISA controversy matters, including matters before various governmental entities, including the IRS, DOL and the PBGC, with respect to investigations, audits and ongoing compliance matters.</w:t>
      </w:r>
    </w:p>
    <w:p w14:paraId="60E83236" w14:textId="6AB907B0" w:rsidR="00C63003" w:rsidRDefault="00C63003" w:rsidP="00C63003">
      <w:pPr>
        <w:tabs>
          <w:tab w:val="left" w:pos="675"/>
        </w:tabs>
        <w:ind w:left="90" w:right="82"/>
        <w:jc w:val="both"/>
        <w:rPr>
          <w:rFonts w:ascii="Arial" w:eastAsia="Arial" w:hAnsi="Arial" w:cs="Arial"/>
          <w:color w:val="404040"/>
        </w:rPr>
      </w:pPr>
      <w:r>
        <w:rPr>
          <w:rFonts w:ascii="Arial" w:eastAsia="Arial" w:hAnsi="Arial" w:cs="Arial"/>
          <w:color w:val="404040"/>
        </w:rPr>
        <w:t xml:space="preserve">Nancy has been recognized professionally in </w:t>
      </w:r>
      <w:r w:rsidRPr="00C63003">
        <w:rPr>
          <w:rFonts w:ascii="Arial" w:eastAsia="Arial" w:hAnsi="Arial" w:cs="Arial"/>
          <w:i/>
          <w:iCs/>
          <w:color w:val="404040"/>
        </w:rPr>
        <w:t>Best Lawyers in America</w:t>
      </w:r>
      <w:r>
        <w:rPr>
          <w:rFonts w:ascii="Arial" w:eastAsia="Arial" w:hAnsi="Arial" w:cs="Arial"/>
          <w:color w:val="404040"/>
        </w:rPr>
        <w:t xml:space="preserve"> (2014-202</w:t>
      </w:r>
      <w:r w:rsidR="006D593D">
        <w:rPr>
          <w:rFonts w:ascii="Arial" w:eastAsia="Arial" w:hAnsi="Arial" w:cs="Arial"/>
          <w:color w:val="404040"/>
        </w:rPr>
        <w:t>6</w:t>
      </w:r>
      <w:r>
        <w:rPr>
          <w:rFonts w:ascii="Arial" w:eastAsia="Arial" w:hAnsi="Arial" w:cs="Arial"/>
          <w:color w:val="404040"/>
        </w:rPr>
        <w:t xml:space="preserve">); </w:t>
      </w:r>
      <w:r w:rsidRPr="00C63003">
        <w:rPr>
          <w:rFonts w:ascii="Arial" w:eastAsia="Arial" w:hAnsi="Arial" w:cs="Arial"/>
          <w:i/>
          <w:iCs/>
          <w:color w:val="404040"/>
        </w:rPr>
        <w:t>Best Lawyers</w:t>
      </w:r>
      <w:r>
        <w:rPr>
          <w:rFonts w:ascii="Arial" w:eastAsia="Arial" w:hAnsi="Arial" w:cs="Arial"/>
          <w:color w:val="404040"/>
        </w:rPr>
        <w:t xml:space="preserve"> “Lawyer of the Year”—Employee Benefits (ER</w:t>
      </w:r>
      <w:r w:rsidR="006D593D">
        <w:rPr>
          <w:rFonts w:ascii="Arial" w:eastAsia="Arial" w:hAnsi="Arial" w:cs="Arial"/>
          <w:color w:val="404040"/>
        </w:rPr>
        <w:t>I</w:t>
      </w:r>
      <w:r>
        <w:rPr>
          <w:rFonts w:ascii="Arial" w:eastAsia="Arial" w:hAnsi="Arial" w:cs="Arial"/>
          <w:color w:val="404040"/>
        </w:rPr>
        <w:t xml:space="preserve">SA) 2021; </w:t>
      </w:r>
      <w:r w:rsidRPr="00C63003">
        <w:rPr>
          <w:rFonts w:ascii="Arial" w:eastAsia="Arial" w:hAnsi="Arial" w:cs="Arial"/>
          <w:i/>
          <w:iCs/>
          <w:color w:val="404040"/>
        </w:rPr>
        <w:t>D Magazine</w:t>
      </w:r>
      <w:r>
        <w:rPr>
          <w:rFonts w:ascii="Arial" w:eastAsia="Arial" w:hAnsi="Arial" w:cs="Arial"/>
          <w:color w:val="404040"/>
        </w:rPr>
        <w:t xml:space="preserve"> Best Lawyers in Dallas, 2003-202</w:t>
      </w:r>
      <w:r w:rsidR="0008753C">
        <w:rPr>
          <w:rFonts w:ascii="Arial" w:eastAsia="Arial" w:hAnsi="Arial" w:cs="Arial"/>
          <w:color w:val="404040"/>
        </w:rPr>
        <w:t>5</w:t>
      </w:r>
      <w:r>
        <w:rPr>
          <w:rFonts w:ascii="Arial" w:eastAsia="Arial" w:hAnsi="Arial" w:cs="Arial"/>
          <w:color w:val="404040"/>
        </w:rPr>
        <w:t>, Best Lawyers Hall of Fame, Best Business Lawyers in Dallas, and Best Women Lawyers in Dallas</w:t>
      </w:r>
      <w:r w:rsidR="00600BD9">
        <w:rPr>
          <w:rFonts w:ascii="Arial" w:eastAsia="Arial" w:hAnsi="Arial" w:cs="Arial"/>
          <w:color w:val="404040"/>
        </w:rPr>
        <w:t xml:space="preserve">; and </w:t>
      </w:r>
      <w:r w:rsidR="00600BD9" w:rsidRPr="00600BD9">
        <w:rPr>
          <w:rFonts w:ascii="Arial" w:eastAsia="Arial" w:hAnsi="Arial" w:cs="Arial"/>
          <w:i/>
          <w:iCs/>
          <w:color w:val="404040"/>
        </w:rPr>
        <w:t>Texas Super Lawyers</w:t>
      </w:r>
      <w:r w:rsidR="00600BD9">
        <w:rPr>
          <w:rFonts w:ascii="Arial" w:eastAsia="Arial" w:hAnsi="Arial" w:cs="Arial"/>
          <w:color w:val="404040"/>
        </w:rPr>
        <w:t>.</w:t>
      </w:r>
      <w:r>
        <w:rPr>
          <w:rFonts w:ascii="Arial" w:eastAsia="Arial" w:hAnsi="Arial" w:cs="Arial"/>
          <w:color w:val="404040"/>
        </w:rPr>
        <w:t xml:space="preserve">  Nancy served in various roles on the Alcuin School Board of Trustees from 2004 to 2011, including the Executive Committee and the office of Secretary.  She also served in various </w:t>
      </w:r>
      <w:r w:rsidR="00600BD9">
        <w:rPr>
          <w:rFonts w:ascii="Arial" w:eastAsia="Arial" w:hAnsi="Arial" w:cs="Arial"/>
          <w:color w:val="404040"/>
        </w:rPr>
        <w:t>capacities</w:t>
      </w:r>
      <w:r>
        <w:rPr>
          <w:rFonts w:ascii="Arial" w:eastAsia="Arial" w:hAnsi="Arial" w:cs="Arial"/>
          <w:color w:val="404040"/>
        </w:rPr>
        <w:t xml:space="preserve"> on The Winston School Board of Trustees, including Board Chair from 2014 to 2018.  </w:t>
      </w:r>
    </w:p>
    <w:p w14:paraId="6FF2CF2C" w14:textId="77777777" w:rsidR="00C63003" w:rsidRPr="00C63003" w:rsidRDefault="00C63003" w:rsidP="00C63003">
      <w:pPr>
        <w:tabs>
          <w:tab w:val="left" w:pos="675"/>
        </w:tabs>
        <w:ind w:left="90" w:right="82"/>
        <w:jc w:val="both"/>
        <w:rPr>
          <w:rFonts w:ascii="Arial" w:eastAsia="Arial" w:hAnsi="Arial" w:cs="Arial"/>
          <w:color w:val="404040"/>
        </w:rPr>
      </w:pPr>
    </w:p>
    <w:p w14:paraId="08A0F61F" w14:textId="4B5AF64A" w:rsidR="00C63003" w:rsidRPr="00C63003" w:rsidRDefault="00C63003" w:rsidP="00C63003">
      <w:pPr>
        <w:widowControl w:val="0"/>
        <w:tabs>
          <w:tab w:val="left" w:pos="675"/>
        </w:tabs>
        <w:autoSpaceDE w:val="0"/>
        <w:autoSpaceDN w:val="0"/>
        <w:spacing w:after="0" w:line="240" w:lineRule="auto"/>
        <w:ind w:left="90" w:right="82"/>
        <w:rPr>
          <w:rFonts w:ascii="Arial" w:eastAsia="Arial" w:hAnsi="Arial" w:cs="Arial"/>
          <w:color w:val="404040"/>
        </w:rPr>
      </w:pPr>
    </w:p>
    <w:p w14:paraId="220EC281" w14:textId="77777777" w:rsidR="00C63003" w:rsidRPr="00C63003" w:rsidRDefault="00C63003" w:rsidP="00C63003">
      <w:pPr>
        <w:widowControl w:val="0"/>
        <w:tabs>
          <w:tab w:val="left" w:pos="675"/>
        </w:tabs>
        <w:autoSpaceDE w:val="0"/>
        <w:autoSpaceDN w:val="0"/>
        <w:spacing w:after="0" w:line="240" w:lineRule="auto"/>
        <w:ind w:left="90" w:right="82"/>
        <w:rPr>
          <w:rFonts w:ascii="Arial" w:eastAsia="Arial" w:hAnsi="Arial" w:cs="Arial"/>
          <w:color w:val="404040"/>
        </w:rPr>
      </w:pPr>
      <w:r w:rsidRPr="00C63003">
        <w:rPr>
          <w:rFonts w:ascii="Arial" w:eastAsia="Arial" w:hAnsi="Arial" w:cs="Arial"/>
          <w:color w:val="404040"/>
        </w:rPr>
        <w:t xml:space="preserve"> </w:t>
      </w:r>
    </w:p>
    <w:p w14:paraId="7A3035BB" w14:textId="77777777" w:rsidR="00000000" w:rsidRDefault="00000000"/>
    <w:sectPr w:rsidR="00572E7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7858C" w14:textId="77777777" w:rsidR="00E30CB3" w:rsidRDefault="00E30CB3" w:rsidP="00F017DF">
      <w:pPr>
        <w:spacing w:after="0" w:line="240" w:lineRule="auto"/>
      </w:pPr>
      <w:r>
        <w:separator/>
      </w:r>
    </w:p>
  </w:endnote>
  <w:endnote w:type="continuationSeparator" w:id="0">
    <w:p w14:paraId="1BF9910C" w14:textId="77777777" w:rsidR="00E30CB3" w:rsidRDefault="00E30CB3" w:rsidP="00F0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FE7" w14:textId="4AE2308E" w:rsidR="00F017DF" w:rsidRDefault="00E43961" w:rsidP="00591F64">
    <w:pPr>
      <w:pStyle w:val="FootnoteText"/>
    </w:pPr>
    <w:fldSimple w:instr=" DOCPROPERTY DOCXDOCID DMS=NetDocuments Format=&lt;&lt;ID&gt;&gt;v.&lt;&lt;VER&gt;&gt; &lt;&lt;Client&gt;&gt;-&lt;&lt;Matter&gt;&gt; &lt;&lt;LEDS&gt;&gt; PRESERVELOCATION \* MERGEFORMAT ">
      <w:r>
        <w:t>4919-4207-4721v.1 999993-64 9/9/2025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1261" w14:textId="58E2AD6F" w:rsidR="00F017DF" w:rsidRDefault="00E43961" w:rsidP="00591F64">
    <w:pPr>
      <w:pStyle w:val="FootnoteText"/>
    </w:pPr>
    <w:fldSimple w:instr=" DOCPROPERTY DOCXDOCID DMS=NetDocuments Format=&lt;&lt;ID&gt;&gt;v.&lt;&lt;VER&gt;&gt; &lt;&lt;Client&gt;&gt;-&lt;&lt;Matter&gt;&gt; &lt;&lt;LEDS&gt;&gt; PRESERVELOCATION \* MERGEFORMAT ">
      <w:r>
        <w:t>4919-4207-4721v.1 999993-64 9/9/2025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2D8C" w14:textId="0B9F0109" w:rsidR="00F017DF" w:rsidRDefault="00E43961" w:rsidP="00591F64">
    <w:pPr>
      <w:pStyle w:val="FootnoteText"/>
    </w:pPr>
    <w:fldSimple w:instr=" DOCPROPERTY DOCXDOCID DMS=NetDocuments Format=&lt;&lt;ID&gt;&gt;v.&lt;&lt;VER&gt;&gt; &lt;&lt;Client&gt;&gt;-&lt;&lt;Matter&gt;&gt; &lt;&lt;LEDS&gt;&gt; PRESERVELOCATION \* MERGEFORMAT ">
      <w:r>
        <w:t>4919-4207-4721v.1 999993-64 9/9/2025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A47C" w14:textId="77777777" w:rsidR="00E30CB3" w:rsidRDefault="00E30CB3" w:rsidP="00F017DF">
      <w:pPr>
        <w:spacing w:after="0" w:line="240" w:lineRule="auto"/>
      </w:pPr>
      <w:r>
        <w:separator/>
      </w:r>
    </w:p>
  </w:footnote>
  <w:footnote w:type="continuationSeparator" w:id="0">
    <w:p w14:paraId="2B41170D" w14:textId="77777777" w:rsidR="00E30CB3" w:rsidRDefault="00E30CB3" w:rsidP="00F01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9BE6" w14:textId="77777777" w:rsidR="00F017DF" w:rsidRDefault="00F01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5098" w14:textId="77777777" w:rsidR="00F017DF" w:rsidRDefault="00F01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4833" w14:textId="77777777" w:rsidR="00F017DF" w:rsidRDefault="00F01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03"/>
    <w:rsid w:val="00016791"/>
    <w:rsid w:val="0008753C"/>
    <w:rsid w:val="00177155"/>
    <w:rsid w:val="00342B24"/>
    <w:rsid w:val="003F604B"/>
    <w:rsid w:val="004730A1"/>
    <w:rsid w:val="004A56D4"/>
    <w:rsid w:val="004A6E34"/>
    <w:rsid w:val="004D13C3"/>
    <w:rsid w:val="00591F64"/>
    <w:rsid w:val="005E17E5"/>
    <w:rsid w:val="00600BD9"/>
    <w:rsid w:val="00665043"/>
    <w:rsid w:val="006D593D"/>
    <w:rsid w:val="00766BB9"/>
    <w:rsid w:val="00775353"/>
    <w:rsid w:val="00776E9C"/>
    <w:rsid w:val="007825ED"/>
    <w:rsid w:val="007E607C"/>
    <w:rsid w:val="00860CA7"/>
    <w:rsid w:val="008F0B01"/>
    <w:rsid w:val="00913659"/>
    <w:rsid w:val="009152C7"/>
    <w:rsid w:val="00930BB1"/>
    <w:rsid w:val="00980D8E"/>
    <w:rsid w:val="009C6DC7"/>
    <w:rsid w:val="00A279A0"/>
    <w:rsid w:val="00A81A20"/>
    <w:rsid w:val="00B552C1"/>
    <w:rsid w:val="00B67426"/>
    <w:rsid w:val="00B82280"/>
    <w:rsid w:val="00BA73F8"/>
    <w:rsid w:val="00C63003"/>
    <w:rsid w:val="00CC24EE"/>
    <w:rsid w:val="00CE144D"/>
    <w:rsid w:val="00D4508C"/>
    <w:rsid w:val="00E30CB3"/>
    <w:rsid w:val="00E32DF3"/>
    <w:rsid w:val="00E43961"/>
    <w:rsid w:val="00F017DF"/>
    <w:rsid w:val="00F14FE6"/>
    <w:rsid w:val="00FC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F9A"/>
  <w15:chartTrackingRefBased/>
  <w15:docId w15:val="{1541CF07-DEC6-4845-8E34-8BEA2A7F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07C"/>
    <w:rPr>
      <w:color w:val="0563C1" w:themeColor="hyperlink"/>
      <w:u w:val="single"/>
    </w:rPr>
  </w:style>
  <w:style w:type="character" w:styleId="UnresolvedMention">
    <w:name w:val="Unresolved Mention"/>
    <w:basedOn w:val="DefaultParagraphFont"/>
    <w:uiPriority w:val="99"/>
    <w:semiHidden/>
    <w:unhideWhenUsed/>
    <w:rsid w:val="007E607C"/>
    <w:rPr>
      <w:color w:val="605E5C"/>
      <w:shd w:val="clear" w:color="auto" w:fill="E1DFDD"/>
    </w:rPr>
  </w:style>
  <w:style w:type="paragraph" w:styleId="Header">
    <w:name w:val="header"/>
    <w:basedOn w:val="Normal"/>
    <w:link w:val="HeaderChar"/>
    <w:uiPriority w:val="99"/>
    <w:unhideWhenUsed/>
    <w:rsid w:val="00F01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7DF"/>
  </w:style>
  <w:style w:type="paragraph" w:styleId="Footer">
    <w:name w:val="footer"/>
    <w:basedOn w:val="Normal"/>
    <w:link w:val="FooterChar"/>
    <w:uiPriority w:val="99"/>
    <w:unhideWhenUsed/>
    <w:rsid w:val="00F01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7DF"/>
  </w:style>
  <w:style w:type="paragraph" w:styleId="FootnoteText">
    <w:name w:val="footnote text"/>
    <w:basedOn w:val="Normal"/>
    <w:link w:val="FootnoteTextChar"/>
    <w:uiPriority w:val="99"/>
    <w:unhideWhenUsed/>
    <w:rsid w:val="00591F64"/>
    <w:pPr>
      <w:spacing w:after="0" w:line="240" w:lineRule="auto"/>
    </w:pPr>
    <w:rPr>
      <w:sz w:val="20"/>
      <w:szCs w:val="20"/>
    </w:rPr>
  </w:style>
  <w:style w:type="character" w:customStyle="1" w:styleId="FootnoteTextChar">
    <w:name w:val="Footnote Text Char"/>
    <w:basedOn w:val="DefaultParagraphFont"/>
    <w:link w:val="FootnoteText"/>
    <w:uiPriority w:val="99"/>
    <w:rsid w:val="00591F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furney@winstead.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Winstead PC</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Furney, Nancy</dc:creator>
  <cp:keywords/>
  <dc:description/>
  <cp:lastModifiedBy>Patrick Alyward</cp:lastModifiedBy>
  <cp:revision>2</cp:revision>
  <dcterms:created xsi:type="dcterms:W3CDTF">2025-09-22T09:26:00Z</dcterms:created>
  <dcterms:modified xsi:type="dcterms:W3CDTF">2025-09-22T09:26:00Z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4919-4207-4721v.1 999993-64 9/9/2025</vt:lpwstr>
  </property>
  <property fmtid="{D5CDD505-2E9C-101B-9397-08002B2CF9AE}" pid="3" name="DocXFormat">
    <vt:lpwstr>Winstead</vt:lpwstr>
  </property>
  <property fmtid="{D5CDD505-2E9C-101B-9397-08002B2CF9AE}" pid="4" name="DocXLocation">
    <vt:lpwstr>Every Page</vt:lpwstr>
  </property>
</Properties>
</file>