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6858" w14:textId="363950FA" w:rsidR="001E2C45" w:rsidRPr="00647FEE" w:rsidRDefault="00D155AB" w:rsidP="00647FE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Selected Quotes</w:t>
      </w:r>
    </w:p>
    <w:p w14:paraId="598DC24D" w14:textId="4D0F30D3" w:rsidR="00AD3F09" w:rsidRPr="00647FEE" w:rsidRDefault="00E70BF3" w:rsidP="00647FE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BF3">
        <w:rPr>
          <w:rFonts w:ascii="Times New Roman" w:eastAsia="Times New Roman" w:hAnsi="Times New Roman" w:cs="Times New Roman"/>
          <w:b/>
          <w:bCs/>
          <w:sz w:val="24"/>
          <w:szCs w:val="24"/>
        </w:rPr>
        <w:t>Attention Engagement</w:t>
      </w:r>
      <w:r w:rsidR="00647FEE" w:rsidRPr="00647FEE">
        <w:rPr>
          <w:rFonts w:ascii="Times New Roman" w:eastAsia="Times New Roman" w:hAnsi="Times New Roman" w:cs="Times New Roman"/>
          <w:b/>
          <w:bCs/>
          <w:sz w:val="24"/>
          <w:szCs w:val="24"/>
        </w:rPr>
        <w:t>, 197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</w:p>
    <w:p w14:paraId="6EB76016" w14:textId="77777777" w:rsidR="00647FEE" w:rsidRDefault="00647FEE" w:rsidP="007A13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848093" w14:textId="77777777" w:rsidR="00F92BF0" w:rsidRPr="00F92BF0" w:rsidRDefault="00F92BF0" w:rsidP="00F92B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BF0">
        <w:rPr>
          <w:rFonts w:ascii="Times New Roman" w:eastAsia="Times New Roman" w:hAnsi="Times New Roman" w:cs="Times New Roman"/>
          <w:sz w:val="24"/>
          <w:szCs w:val="24"/>
        </w:rPr>
        <w:t>“Yet, compared to other aspects of consumer behavior on which marketing and advertising success depends, attentional processes have suffered neglect from theorists and practitioners alike.” p. 17</w:t>
      </w:r>
    </w:p>
    <w:p w14:paraId="774586C7" w14:textId="77777777" w:rsidR="00F92BF0" w:rsidRPr="00F92BF0" w:rsidRDefault="00F92BF0" w:rsidP="00F92B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BF0">
        <w:rPr>
          <w:rFonts w:ascii="Times New Roman" w:eastAsia="Times New Roman" w:hAnsi="Times New Roman" w:cs="Times New Roman"/>
          <w:sz w:val="24"/>
          <w:szCs w:val="24"/>
        </w:rPr>
        <w:t>“. . . The advertiser’s second hurdle, that of converting targets exposed to targets engaged.” p. 18 (selective attention)</w:t>
      </w:r>
    </w:p>
    <w:p w14:paraId="41507867" w14:textId="77777777" w:rsidR="00F92BF0" w:rsidRPr="00F92BF0" w:rsidRDefault="00F92BF0" w:rsidP="00F92B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BF0">
        <w:rPr>
          <w:rFonts w:ascii="Times New Roman" w:eastAsia="Times New Roman" w:hAnsi="Times New Roman" w:cs="Times New Roman"/>
          <w:sz w:val="24"/>
          <w:szCs w:val="24"/>
        </w:rPr>
        <w:t>“. . . The role of advertising is to inform consumers about the particular set of attributes, i.e., want-satisfying qualities, that a brand claims for itself.” p. 25</w:t>
      </w:r>
    </w:p>
    <w:p w14:paraId="52629D00" w14:textId="4727E7DA" w:rsidR="00E70BF3" w:rsidRPr="00252D55" w:rsidRDefault="00F92BF0" w:rsidP="00F92B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BF0">
        <w:rPr>
          <w:rFonts w:ascii="Times New Roman" w:eastAsia="Times New Roman" w:hAnsi="Times New Roman" w:cs="Times New Roman"/>
          <w:sz w:val="24"/>
          <w:szCs w:val="24"/>
        </w:rPr>
        <w:t>“Briefly, consumer wants arise from feelings associated with the way the product-use situation is perceived by the consumer.” p. 26</w:t>
      </w:r>
    </w:p>
    <w:p w14:paraId="5E2F3EB8" w14:textId="77777777" w:rsidR="00032BDE" w:rsidRPr="00032BDE" w:rsidRDefault="00032BDE" w:rsidP="00032B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BDE">
        <w:rPr>
          <w:rFonts w:ascii="Times New Roman" w:eastAsia="Times New Roman" w:hAnsi="Times New Roman" w:cs="Times New Roman"/>
          <w:sz w:val="24"/>
          <w:szCs w:val="24"/>
        </w:rPr>
        <w:t>“I see value in the development of a set of conceptual categories to classify advertising content in behaviorally relevant ways.” p. 32</w:t>
      </w:r>
    </w:p>
    <w:p w14:paraId="3606CE3B" w14:textId="55860244" w:rsidR="003D1648" w:rsidRPr="00252D55" w:rsidRDefault="00032BDE" w:rsidP="00032B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BDE">
        <w:rPr>
          <w:rFonts w:ascii="Times New Roman" w:eastAsia="Times New Roman" w:hAnsi="Times New Roman" w:cs="Times New Roman"/>
          <w:sz w:val="24"/>
          <w:szCs w:val="24"/>
        </w:rPr>
        <w:t xml:space="preserve">“. . . Individual differences in the significance of stimuli make it impossible to predict behavior from a knowledge of stimulus conditions alone.” p. 32 (think Prospect vs. </w:t>
      </w:r>
      <w:proofErr w:type="spellStart"/>
      <w:r w:rsidRPr="00032BDE">
        <w:rPr>
          <w:rFonts w:ascii="Times New Roman" w:eastAsia="Times New Roman" w:hAnsi="Times New Roman" w:cs="Times New Roman"/>
          <w:sz w:val="24"/>
          <w:szCs w:val="24"/>
        </w:rPr>
        <w:t>Nonprospect</w:t>
      </w:r>
      <w:proofErr w:type="spellEnd"/>
      <w:r w:rsidRPr="00032BD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952C0C4" w14:textId="77777777" w:rsidR="001E2C45" w:rsidRDefault="001E2C45" w:rsidP="007A13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E8F46A" w14:textId="09A6C3B6" w:rsidR="00000000" w:rsidRDefault="00E70BF3">
      <w:r w:rsidRPr="00E70BF3">
        <w:rPr>
          <w:rFonts w:ascii="Times New Roman" w:eastAsia="Times New Roman" w:hAnsi="Times New Roman" w:cs="Times New Roman"/>
          <w:sz w:val="24"/>
          <w:szCs w:val="24"/>
        </w:rPr>
        <w:t>Fennell, G. (1979). Attention Engagement. Current Issues &amp; Research in Advertising, 2(1), 17.</w:t>
      </w:r>
    </w:p>
    <w:sectPr w:rsidR="003A5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77AE0"/>
    <w:multiLevelType w:val="hybridMultilevel"/>
    <w:tmpl w:val="916C5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23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42"/>
    <w:rsid w:val="000173C8"/>
    <w:rsid w:val="00032BDE"/>
    <w:rsid w:val="000B29F6"/>
    <w:rsid w:val="000C0BC3"/>
    <w:rsid w:val="001E2C45"/>
    <w:rsid w:val="00252D55"/>
    <w:rsid w:val="002675C9"/>
    <w:rsid w:val="002E533E"/>
    <w:rsid w:val="002F5517"/>
    <w:rsid w:val="003B4A70"/>
    <w:rsid w:val="003D1648"/>
    <w:rsid w:val="00492DAC"/>
    <w:rsid w:val="00534DCF"/>
    <w:rsid w:val="005529C6"/>
    <w:rsid w:val="00560A55"/>
    <w:rsid w:val="00591796"/>
    <w:rsid w:val="00647FEE"/>
    <w:rsid w:val="006C21E2"/>
    <w:rsid w:val="006C4040"/>
    <w:rsid w:val="00733FB7"/>
    <w:rsid w:val="00754ACD"/>
    <w:rsid w:val="00781B5D"/>
    <w:rsid w:val="00793FF9"/>
    <w:rsid w:val="007A1342"/>
    <w:rsid w:val="007D01B9"/>
    <w:rsid w:val="0082328D"/>
    <w:rsid w:val="008550FF"/>
    <w:rsid w:val="00913DD4"/>
    <w:rsid w:val="00931B54"/>
    <w:rsid w:val="00A04A02"/>
    <w:rsid w:val="00A3429E"/>
    <w:rsid w:val="00A87325"/>
    <w:rsid w:val="00AD3F09"/>
    <w:rsid w:val="00AF7895"/>
    <w:rsid w:val="00B06FC0"/>
    <w:rsid w:val="00B9304E"/>
    <w:rsid w:val="00CD609D"/>
    <w:rsid w:val="00D155AB"/>
    <w:rsid w:val="00DE4BA0"/>
    <w:rsid w:val="00E26BF3"/>
    <w:rsid w:val="00E70BF3"/>
    <w:rsid w:val="00F92BF0"/>
    <w:rsid w:val="00FB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E7828"/>
  <w15:chartTrackingRefBased/>
  <w15:docId w15:val="{651829C5-BAE8-4FD3-AB2D-142B694F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Story</dc:creator>
  <cp:keywords/>
  <dc:description/>
  <cp:lastModifiedBy>John Story</cp:lastModifiedBy>
  <cp:revision>4</cp:revision>
  <dcterms:created xsi:type="dcterms:W3CDTF">2024-01-28T16:30:00Z</dcterms:created>
  <dcterms:modified xsi:type="dcterms:W3CDTF">2024-01-28T16:45:00Z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20a6fb8e-2bae-47a5-8a6e-59de7459b268</vt:lpwstr>
  </property>
</Properties>
</file>