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27" w:rsidRPr="00332F27" w:rsidRDefault="00332F27" w:rsidP="00332F27">
      <w:pPr>
        <w:spacing w:after="0" w:line="240" w:lineRule="auto"/>
        <w:ind w:left="3600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40"/>
          <w:szCs w:val="40"/>
        </w:rPr>
        <w:t>    </w:t>
      </w:r>
      <w:r w:rsidRPr="00332F27">
        <w:rPr>
          <w:rFonts w:ascii="Bradley Hand ITC" w:eastAsia="Times New Roman" w:hAnsi="Bradley Hand ITC" w:cs="Times New Roman"/>
          <w:b/>
          <w:bCs/>
          <w:color w:val="000000"/>
          <w:sz w:val="36"/>
          <w:szCs w:val="36"/>
          <w:u w:val="single"/>
        </w:rPr>
        <w:t>Appetizers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Classic Wine Country Charcuterie Board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*cured meats, cheeses, fruit and pickled items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Butter Board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Toast points, Crackers, pomegranate and herbs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Sliders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Beef, Crispy Fried Chicken or Wild Game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Grilled onions, Greens and Sauce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6"/>
          <w:szCs w:val="36"/>
          <w:u w:val="single"/>
        </w:rPr>
        <w:t>Salads 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The Chunk Salad (not a wedge)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 xml:space="preserve">Cucumbers, Radishes, Tomatoes, Avocado, </w:t>
      </w:r>
      <w:proofErr w:type="spellStart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ChickPeas</w:t>
      </w:r>
      <w:proofErr w:type="spellEnd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, Purple Onion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The Greens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 xml:space="preserve">Romaine, </w:t>
      </w:r>
      <w:proofErr w:type="spellStart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Grannie</w:t>
      </w:r>
      <w:proofErr w:type="spellEnd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 xml:space="preserve"> Smith, Fennel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The Grill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 xml:space="preserve">Grilled Romaine, Roasted Red Peppers, Toasted </w:t>
      </w:r>
      <w:proofErr w:type="spellStart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Pepitas</w:t>
      </w:r>
      <w:proofErr w:type="spellEnd"/>
    </w:p>
    <w:p w:rsidR="00332F27" w:rsidRPr="00332F27" w:rsidRDefault="00332F27" w:rsidP="00332F27">
      <w:pPr>
        <w:spacing w:after="24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  <w:u w:val="single"/>
        </w:rPr>
        <w:t>The Big Dish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Rustic Herb Chicken 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proofErr w:type="spellStart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Dauphinoise</w:t>
      </w:r>
      <w:proofErr w:type="spellEnd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 xml:space="preserve"> Potatoes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Green Beans + Mushrooms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White Wine Salmon or White Fish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Herbed Wild Rice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Zucchini Ribbons and Roasted Tomatoes</w:t>
      </w:r>
    </w:p>
    <w:p w:rsidR="00332F27" w:rsidRPr="00332F27" w:rsidRDefault="00332F27" w:rsidP="00332F27">
      <w:pPr>
        <w:spacing w:after="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lastRenderedPageBreak/>
        <w:t>Pork Loin with Mint Pesto</w:t>
      </w: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proofErr w:type="gramStart"/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Three Cheese Polenta</w:t>
      </w:r>
      <w:proofErr w:type="gramEnd"/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</w:rPr>
        <w:t>Asparagus</w:t>
      </w:r>
    </w:p>
    <w:p w:rsidR="00332F27" w:rsidRPr="00332F27" w:rsidRDefault="00332F27" w:rsidP="00332F27">
      <w:pPr>
        <w:spacing w:after="240" w:line="240" w:lineRule="auto"/>
        <w:rPr>
          <w:rFonts w:ascii="Bradley Hand ITC" w:eastAsia="Times New Roman" w:hAnsi="Bradley Hand ITC" w:cs="Times New Roman"/>
          <w:b/>
          <w:sz w:val="24"/>
          <w:szCs w:val="24"/>
        </w:rPr>
      </w:pPr>
    </w:p>
    <w:p w:rsidR="00332F27" w:rsidRPr="00332F27" w:rsidRDefault="00332F27" w:rsidP="00332F2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332F27">
        <w:rPr>
          <w:rFonts w:ascii="Bradley Hand ITC" w:eastAsia="Times New Roman" w:hAnsi="Bradley Hand ITC" w:cs="Times New Roman"/>
          <w:b/>
          <w:bCs/>
          <w:color w:val="000000"/>
          <w:sz w:val="32"/>
          <w:szCs w:val="32"/>
          <w:u w:val="single"/>
        </w:rPr>
        <w:t>*****ALL MENUS ARE SUBJECT TO CHANGE</w:t>
      </w:r>
    </w:p>
    <w:p w:rsidR="00EB13CB" w:rsidRPr="00332F27" w:rsidRDefault="00332F27" w:rsidP="00332F27">
      <w:pPr>
        <w:jc w:val="center"/>
        <w:rPr>
          <w:rFonts w:ascii="Bradley Hand ITC" w:hAnsi="Bradley Hand ITC"/>
          <w:b/>
        </w:rPr>
      </w:pP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  <w:r w:rsidRPr="00332F27">
        <w:rPr>
          <w:rFonts w:ascii="Bradley Hand ITC" w:eastAsia="Times New Roman" w:hAnsi="Bradley Hand ITC" w:cs="Times New Roman"/>
          <w:b/>
          <w:sz w:val="24"/>
          <w:szCs w:val="24"/>
        </w:rPr>
        <w:br/>
      </w:r>
    </w:p>
    <w:sectPr w:rsidR="00EB13CB" w:rsidRPr="00332F27" w:rsidSect="00EB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2F27"/>
    <w:rsid w:val="00332F27"/>
    <w:rsid w:val="00EB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2025-04-11T18:09:00Z</dcterms:created>
  <dcterms:modified xsi:type="dcterms:W3CDTF">2025-04-11T18:12:00Z</dcterms:modified>
</cp:coreProperties>
</file>