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8E358" w14:textId="03FEAEB5" w:rsidR="00CC12CD" w:rsidRDefault="00CC12CD">
      <w:pPr>
        <w:spacing w:after="40"/>
        <w:jc w:val="center"/>
        <w:rPr>
          <w:rFonts w:ascii="Georgia" w:eastAsia="Georgia" w:hAnsi="Georgia" w:cs="Georgia"/>
          <w:b/>
          <w:bCs/>
          <w:color w:val="5B1A22"/>
          <w:spacing w:val="60"/>
          <w:sz w:val="40"/>
          <w:szCs w:val="40"/>
        </w:rPr>
      </w:pPr>
      <w:r>
        <w:rPr>
          <w:rFonts w:ascii="Georgia" w:eastAsia="Georgia" w:hAnsi="Georgia" w:cs="Georgia"/>
          <w:b/>
          <w:bCs/>
          <w:noProof/>
          <w:color w:val="5B1A22"/>
          <w:spacing w:val="60"/>
          <w:sz w:val="40"/>
          <w:szCs w:val="40"/>
        </w:rPr>
        <w:drawing>
          <wp:inline distT="0" distB="0" distL="0" distR="0" wp14:anchorId="1FE156C7" wp14:editId="171A7A9E">
            <wp:extent cx="1485900" cy="1485900"/>
            <wp:effectExtent l="0" t="0" r="0" b="0"/>
            <wp:docPr id="937549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BB4D77" w14:textId="77777777" w:rsidR="00CC12CD" w:rsidRDefault="00CC12CD" w:rsidP="00CC12CD">
      <w:pPr>
        <w:spacing w:after="40"/>
        <w:rPr>
          <w:rFonts w:ascii="Georgia" w:eastAsia="Georgia" w:hAnsi="Georgia" w:cs="Georgia"/>
          <w:b/>
          <w:bCs/>
          <w:color w:val="5B1A22"/>
          <w:spacing w:val="60"/>
          <w:sz w:val="40"/>
          <w:szCs w:val="40"/>
        </w:rPr>
      </w:pPr>
    </w:p>
    <w:p w14:paraId="4ED14B01" w14:textId="15337925" w:rsidR="00C67AC1" w:rsidRDefault="00000000">
      <w:pPr>
        <w:spacing w:after="40"/>
        <w:jc w:val="center"/>
      </w:pPr>
      <w:r>
        <w:rPr>
          <w:rFonts w:ascii="Georgia" w:eastAsia="Georgia" w:hAnsi="Georgia" w:cs="Georgia"/>
          <w:b/>
          <w:bCs/>
          <w:color w:val="5B1A22"/>
          <w:spacing w:val="60"/>
          <w:sz w:val="40"/>
          <w:szCs w:val="40"/>
        </w:rPr>
        <w:t>SURH CELLARS</w:t>
      </w:r>
    </w:p>
    <w:p w14:paraId="4E374007" w14:textId="77777777" w:rsidR="00C67AC1" w:rsidRDefault="00000000">
      <w:pPr>
        <w:pBdr>
          <w:bottom w:val="single" w:sz="6" w:space="10" w:color="9C7A3C"/>
        </w:pBdr>
        <w:spacing w:after="200"/>
        <w:jc w:val="center"/>
      </w:pPr>
      <w:r>
        <w:rPr>
          <w:rFonts w:ascii="Georgia" w:eastAsia="Georgia" w:hAnsi="Georgia" w:cs="Georgia"/>
          <w:color w:val="888888"/>
          <w:spacing w:val="10"/>
          <w:sz w:val="15"/>
          <w:szCs w:val="15"/>
        </w:rPr>
        <w:t xml:space="preserve">N A P A   V A L </w:t>
      </w:r>
      <w:proofErr w:type="spellStart"/>
      <w:r>
        <w:rPr>
          <w:rFonts w:ascii="Georgia" w:eastAsia="Georgia" w:hAnsi="Georgia" w:cs="Georgia"/>
          <w:color w:val="888888"/>
          <w:spacing w:val="10"/>
          <w:sz w:val="15"/>
          <w:szCs w:val="15"/>
        </w:rPr>
        <w:t>L</w:t>
      </w:r>
      <w:proofErr w:type="spellEnd"/>
      <w:r>
        <w:rPr>
          <w:rFonts w:ascii="Georgia" w:eastAsia="Georgia" w:hAnsi="Georgia" w:cs="Georgia"/>
          <w:color w:val="888888"/>
          <w:spacing w:val="10"/>
          <w:sz w:val="15"/>
          <w:szCs w:val="15"/>
        </w:rPr>
        <w:t xml:space="preserve"> E Y</w:t>
      </w:r>
    </w:p>
    <w:p w14:paraId="38A01E24" w14:textId="77777777" w:rsidR="00C67AC1" w:rsidRDefault="00000000">
      <w:pPr>
        <w:spacing w:before="200"/>
        <w:jc w:val="center"/>
      </w:pPr>
      <w:r>
        <w:rPr>
          <w:rFonts w:ascii="Georgia" w:eastAsia="Georgia" w:hAnsi="Georgia" w:cs="Georgia"/>
          <w:b/>
          <w:bCs/>
          <w:color w:val="2B2B2B"/>
          <w:spacing w:val="15"/>
          <w:sz w:val="34"/>
          <w:szCs w:val="34"/>
        </w:rPr>
        <w:t>MOSAIQUE</w:t>
      </w:r>
    </w:p>
    <w:p w14:paraId="71B11D7F" w14:textId="77777777" w:rsidR="00C67AC1" w:rsidRDefault="00000000">
      <w:pPr>
        <w:spacing w:before="40" w:after="360"/>
        <w:jc w:val="center"/>
      </w:pPr>
      <w:r>
        <w:rPr>
          <w:rFonts w:ascii="Georgia" w:eastAsia="Georgia" w:hAnsi="Georgia" w:cs="Georgia"/>
          <w:color w:val="9C7A3C"/>
          <w:spacing w:val="30"/>
        </w:rPr>
        <w:t>2018 VINTAGE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0"/>
        <w:gridCol w:w="4920"/>
      </w:tblGrid>
      <w:tr w:rsidR="00C67AC1" w14:paraId="7BF22706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0" w:type="dxa"/>
              <w:bottom w:w="100" w:type="dxa"/>
              <w:right w:w="200" w:type="dxa"/>
            </w:tcMar>
          </w:tcPr>
          <w:p w14:paraId="32C589D9" w14:textId="77777777" w:rsidR="00C67AC1" w:rsidRDefault="00000000">
            <w:pPr>
              <w:spacing w:after="40"/>
            </w:pPr>
            <w:r>
              <w:rPr>
                <w:rFonts w:ascii="Georgia" w:eastAsia="Georgia" w:hAnsi="Georgia" w:cs="Georgia"/>
                <w:b/>
                <w:bCs/>
                <w:color w:val="9C7A3C"/>
                <w:spacing w:val="20"/>
                <w:sz w:val="16"/>
                <w:szCs w:val="16"/>
              </w:rPr>
              <w:t>VINEYARD LOCATION</w:t>
            </w:r>
          </w:p>
          <w:p w14:paraId="5F461549" w14:textId="77777777" w:rsidR="00C67AC1" w:rsidRDefault="00000000">
            <w:r>
              <w:rPr>
                <w:rFonts w:ascii="Georgia" w:eastAsia="Georgia" w:hAnsi="Georgia" w:cs="Georgia"/>
                <w:color w:val="2B2B2B"/>
                <w:sz w:val="21"/>
                <w:szCs w:val="21"/>
              </w:rPr>
              <w:t>Yountville, Oak Knoll, Mt Veeder</w:t>
            </w:r>
          </w:p>
        </w:tc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0" w:type="dxa"/>
              <w:bottom w:w="100" w:type="dxa"/>
              <w:right w:w="200" w:type="dxa"/>
            </w:tcMar>
          </w:tcPr>
          <w:p w14:paraId="1EAB67FD" w14:textId="77777777" w:rsidR="00C67AC1" w:rsidRDefault="00000000">
            <w:pPr>
              <w:spacing w:after="40"/>
            </w:pPr>
            <w:r>
              <w:rPr>
                <w:rFonts w:ascii="Georgia" w:eastAsia="Georgia" w:hAnsi="Georgia" w:cs="Georgia"/>
                <w:b/>
                <w:bCs/>
                <w:color w:val="9C7A3C"/>
                <w:spacing w:val="20"/>
                <w:sz w:val="16"/>
                <w:szCs w:val="16"/>
              </w:rPr>
              <w:t>FINAL COMPOSITION</w:t>
            </w:r>
          </w:p>
          <w:p w14:paraId="30C11FEA" w14:textId="77777777" w:rsidR="00C67AC1" w:rsidRDefault="00000000">
            <w:r>
              <w:rPr>
                <w:rFonts w:ascii="Georgia" w:eastAsia="Georgia" w:hAnsi="Georgia" w:cs="Georgia"/>
                <w:color w:val="2B2B2B"/>
                <w:sz w:val="21"/>
                <w:szCs w:val="21"/>
              </w:rPr>
              <w:t>73% Cabernet Sauvignon, 12% Petite Verdot, 10% Cabernet Franc, 5% Merlot</w:t>
            </w:r>
          </w:p>
        </w:tc>
      </w:tr>
    </w:tbl>
    <w:p w14:paraId="13D01B47" w14:textId="77777777" w:rsidR="00C67AC1" w:rsidRDefault="00C67AC1">
      <w:pPr>
        <w:pBdr>
          <w:top w:val="single" w:sz="2" w:space="10" w:color="D9D9D9"/>
        </w:pBdr>
        <w:spacing w:before="240" w:after="240"/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0"/>
        <w:gridCol w:w="3280"/>
        <w:gridCol w:w="3280"/>
      </w:tblGrid>
      <w:tr w:rsidR="00C67AC1" w14:paraId="418BA252" w14:textId="77777777">
        <w:tblPrEx>
          <w:tblCellMar>
            <w:top w:w="0" w:type="dxa"/>
            <w:bottom w:w="0" w:type="dxa"/>
          </w:tblCellMar>
        </w:tblPrEx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0" w:type="dxa"/>
              <w:bottom w:w="100" w:type="dxa"/>
              <w:right w:w="200" w:type="dxa"/>
            </w:tcMar>
          </w:tcPr>
          <w:p w14:paraId="31B31D47" w14:textId="77777777" w:rsidR="00C67AC1" w:rsidRDefault="00000000">
            <w:pPr>
              <w:spacing w:after="40"/>
            </w:pPr>
            <w:r>
              <w:rPr>
                <w:rFonts w:ascii="Georgia" w:eastAsia="Georgia" w:hAnsi="Georgia" w:cs="Georgia"/>
                <w:b/>
                <w:bCs/>
                <w:color w:val="9C7A3C"/>
                <w:spacing w:val="20"/>
                <w:sz w:val="16"/>
                <w:szCs w:val="16"/>
              </w:rPr>
              <w:t>ALCOHOL</w:t>
            </w:r>
          </w:p>
          <w:p w14:paraId="3F770642" w14:textId="77777777" w:rsidR="00C67AC1" w:rsidRDefault="00000000">
            <w:r>
              <w:rPr>
                <w:rFonts w:ascii="Georgia" w:eastAsia="Georgia" w:hAnsi="Georgia" w:cs="Georgia"/>
                <w:color w:val="2B2B2B"/>
                <w:sz w:val="21"/>
                <w:szCs w:val="21"/>
              </w:rPr>
              <w:t>14.8%</w:t>
            </w:r>
          </w:p>
        </w:tc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0" w:type="dxa"/>
              <w:bottom w:w="100" w:type="dxa"/>
              <w:right w:w="200" w:type="dxa"/>
            </w:tcMar>
          </w:tcPr>
          <w:p w14:paraId="5437E72B" w14:textId="77777777" w:rsidR="00C67AC1" w:rsidRDefault="00000000">
            <w:pPr>
              <w:spacing w:after="40"/>
            </w:pPr>
            <w:r>
              <w:rPr>
                <w:rFonts w:ascii="Georgia" w:eastAsia="Georgia" w:hAnsi="Georgia" w:cs="Georgia"/>
                <w:b/>
                <w:bCs/>
                <w:color w:val="9C7A3C"/>
                <w:spacing w:val="20"/>
                <w:sz w:val="16"/>
                <w:szCs w:val="16"/>
              </w:rPr>
              <w:t>PH</w:t>
            </w:r>
          </w:p>
          <w:p w14:paraId="7FAC4A9D" w14:textId="77777777" w:rsidR="00C67AC1" w:rsidRDefault="00000000">
            <w:r>
              <w:rPr>
                <w:rFonts w:ascii="Georgia" w:eastAsia="Georgia" w:hAnsi="Georgia" w:cs="Georgia"/>
                <w:color w:val="2B2B2B"/>
                <w:sz w:val="21"/>
                <w:szCs w:val="21"/>
              </w:rPr>
              <w:t>3.80</w:t>
            </w:r>
          </w:p>
        </w:tc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0" w:type="dxa"/>
              <w:bottom w:w="100" w:type="dxa"/>
              <w:right w:w="200" w:type="dxa"/>
            </w:tcMar>
          </w:tcPr>
          <w:p w14:paraId="0FB75BC1" w14:textId="77777777" w:rsidR="00C67AC1" w:rsidRDefault="00000000">
            <w:pPr>
              <w:spacing w:after="40"/>
            </w:pPr>
            <w:r>
              <w:rPr>
                <w:rFonts w:ascii="Georgia" w:eastAsia="Georgia" w:hAnsi="Georgia" w:cs="Georgia"/>
                <w:b/>
                <w:bCs/>
                <w:color w:val="9C7A3C"/>
                <w:spacing w:val="20"/>
                <w:sz w:val="16"/>
                <w:szCs w:val="16"/>
              </w:rPr>
              <w:t>TOTAL ACIDITY</w:t>
            </w:r>
          </w:p>
          <w:p w14:paraId="0847B230" w14:textId="77777777" w:rsidR="00C67AC1" w:rsidRDefault="00000000">
            <w:r>
              <w:rPr>
                <w:rFonts w:ascii="Georgia" w:eastAsia="Georgia" w:hAnsi="Georgia" w:cs="Georgia"/>
                <w:color w:val="2B2B2B"/>
                <w:sz w:val="21"/>
                <w:szCs w:val="21"/>
              </w:rPr>
              <w:t>6.0 g/L</w:t>
            </w:r>
          </w:p>
        </w:tc>
      </w:tr>
    </w:tbl>
    <w:p w14:paraId="24DEF730" w14:textId="77777777" w:rsidR="00C67AC1" w:rsidRDefault="00C67AC1">
      <w:pPr>
        <w:pBdr>
          <w:top w:val="single" w:sz="2" w:space="10" w:color="D9D9D9"/>
        </w:pBdr>
        <w:spacing w:before="240" w:after="240"/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0"/>
        <w:gridCol w:w="4920"/>
      </w:tblGrid>
      <w:tr w:rsidR="00C67AC1" w14:paraId="3422851A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0" w:type="dxa"/>
              <w:bottom w:w="100" w:type="dxa"/>
              <w:right w:w="200" w:type="dxa"/>
            </w:tcMar>
          </w:tcPr>
          <w:p w14:paraId="18BDA649" w14:textId="77777777" w:rsidR="00C67AC1" w:rsidRDefault="00000000">
            <w:pPr>
              <w:spacing w:after="40"/>
            </w:pPr>
            <w:r>
              <w:rPr>
                <w:rFonts w:ascii="Georgia" w:eastAsia="Georgia" w:hAnsi="Georgia" w:cs="Georgia"/>
                <w:b/>
                <w:bCs/>
                <w:color w:val="9C7A3C"/>
                <w:spacing w:val="20"/>
                <w:sz w:val="16"/>
                <w:szCs w:val="16"/>
              </w:rPr>
              <w:t>BARREL TYPE</w:t>
            </w:r>
          </w:p>
          <w:p w14:paraId="3EA0FAB0" w14:textId="77777777" w:rsidR="00C67AC1" w:rsidRDefault="00000000">
            <w:r>
              <w:rPr>
                <w:rFonts w:ascii="Georgia" w:eastAsia="Georgia" w:hAnsi="Georgia" w:cs="Georgia"/>
                <w:color w:val="2B2B2B"/>
                <w:sz w:val="21"/>
                <w:szCs w:val="21"/>
              </w:rPr>
              <w:t>30% new French oak, 70% once-used French oak</w:t>
            </w:r>
          </w:p>
        </w:tc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0" w:type="dxa"/>
              <w:bottom w:w="100" w:type="dxa"/>
              <w:right w:w="200" w:type="dxa"/>
            </w:tcMar>
          </w:tcPr>
          <w:p w14:paraId="40BE064F" w14:textId="77777777" w:rsidR="00C67AC1" w:rsidRDefault="00000000">
            <w:pPr>
              <w:spacing w:after="40"/>
            </w:pPr>
            <w:r>
              <w:rPr>
                <w:rFonts w:ascii="Georgia" w:eastAsia="Georgia" w:hAnsi="Georgia" w:cs="Georgia"/>
                <w:b/>
                <w:bCs/>
                <w:color w:val="9C7A3C"/>
                <w:spacing w:val="20"/>
                <w:sz w:val="16"/>
                <w:szCs w:val="16"/>
              </w:rPr>
              <w:t>BARREL TIME</w:t>
            </w:r>
          </w:p>
          <w:p w14:paraId="5504CC68" w14:textId="77777777" w:rsidR="00C67AC1" w:rsidRDefault="00000000">
            <w:r>
              <w:rPr>
                <w:rFonts w:ascii="Georgia" w:eastAsia="Georgia" w:hAnsi="Georgia" w:cs="Georgia"/>
                <w:color w:val="2B2B2B"/>
                <w:sz w:val="21"/>
                <w:szCs w:val="21"/>
              </w:rPr>
              <w:t>20 months</w:t>
            </w:r>
          </w:p>
        </w:tc>
      </w:tr>
    </w:tbl>
    <w:p w14:paraId="2B590FB0" w14:textId="77777777" w:rsidR="00C67AC1" w:rsidRDefault="00C67AC1">
      <w:pPr>
        <w:pBdr>
          <w:top w:val="single" w:sz="2" w:space="10" w:color="D9D9D9"/>
        </w:pBdr>
        <w:spacing w:before="240" w:after="240"/>
      </w:pPr>
    </w:p>
    <w:p w14:paraId="12BB933B" w14:textId="77777777" w:rsidR="00C67AC1" w:rsidRDefault="00000000">
      <w:pPr>
        <w:spacing w:after="100"/>
      </w:pPr>
      <w:r>
        <w:rPr>
          <w:rFonts w:ascii="Georgia" w:eastAsia="Georgia" w:hAnsi="Georgia" w:cs="Georgia"/>
          <w:b/>
          <w:bCs/>
          <w:color w:val="5B1A22"/>
          <w:spacing w:val="25"/>
        </w:rPr>
        <w:t>TASTING NOTES</w:t>
      </w:r>
    </w:p>
    <w:p w14:paraId="410BEC11" w14:textId="77777777" w:rsidR="00C67AC1" w:rsidRDefault="00000000">
      <w:pPr>
        <w:spacing w:after="160" w:line="300" w:lineRule="auto"/>
      </w:pPr>
      <w:r>
        <w:rPr>
          <w:rFonts w:ascii="Georgia" w:eastAsia="Georgia" w:hAnsi="Georgia" w:cs="Georgia"/>
          <w:color w:val="2B2B2B"/>
          <w:sz w:val="22"/>
          <w:szCs w:val="22"/>
        </w:rPr>
        <w:t>In many ways this wine follows our 2017 Mosaique, again led by Cabernet Sauvignon, but it shows differently: massive, dark, and intense. Merlot and Cabernet Franc play their usual supporting roles, while Petite Verdot sets this vintage apart. Given its intensity, this bottle rewards cellar time — at least a few years — to show its full potential, placing it closer in character to our Cabernet Sauvignon than to a typical Mosaique.</w:t>
      </w:r>
    </w:p>
    <w:p w14:paraId="016C1368" w14:textId="77777777" w:rsidR="00C67AC1" w:rsidRDefault="00000000">
      <w:pPr>
        <w:spacing w:after="280" w:line="300" w:lineRule="auto"/>
      </w:pPr>
      <w:r>
        <w:rPr>
          <w:rFonts w:ascii="Georgia" w:eastAsia="Georgia" w:hAnsi="Georgia" w:cs="Georgia"/>
          <w:color w:val="2B2B2B"/>
          <w:sz w:val="22"/>
          <w:szCs w:val="22"/>
        </w:rPr>
        <w:t xml:space="preserve">On the palate it is full-bodied, with ripe </w:t>
      </w:r>
      <w:proofErr w:type="gramStart"/>
      <w:r>
        <w:rPr>
          <w:rFonts w:ascii="Georgia" w:eastAsia="Georgia" w:hAnsi="Georgia" w:cs="Georgia"/>
          <w:color w:val="2B2B2B"/>
          <w:sz w:val="22"/>
          <w:szCs w:val="22"/>
        </w:rPr>
        <w:t>blackberry</w:t>
      </w:r>
      <w:proofErr w:type="gramEnd"/>
      <w:r>
        <w:rPr>
          <w:rFonts w:ascii="Georgia" w:eastAsia="Georgia" w:hAnsi="Georgia" w:cs="Georgia"/>
          <w:color w:val="2B2B2B"/>
          <w:sz w:val="22"/>
          <w:szCs w:val="22"/>
        </w:rPr>
        <w:t xml:space="preserve">, </w:t>
      </w:r>
      <w:proofErr w:type="gramStart"/>
      <w:r>
        <w:rPr>
          <w:rFonts w:ascii="Georgia" w:eastAsia="Georgia" w:hAnsi="Georgia" w:cs="Georgia"/>
          <w:color w:val="2B2B2B"/>
          <w:sz w:val="22"/>
          <w:szCs w:val="22"/>
        </w:rPr>
        <w:t>cherry</w:t>
      </w:r>
      <w:proofErr w:type="gramEnd"/>
      <w:r>
        <w:rPr>
          <w:rFonts w:ascii="Georgia" w:eastAsia="Georgia" w:hAnsi="Georgia" w:cs="Georgia"/>
          <w:color w:val="2B2B2B"/>
          <w:sz w:val="22"/>
          <w:szCs w:val="22"/>
        </w:rPr>
        <w:t xml:space="preserve">, vanilla, and herbs. A few hours of aeration — or better, twenty-four — opens the wine into a more expansive, less grippy expression. Best enjoyed after roughly five years in the cellar; like </w:t>
      </w:r>
      <w:proofErr w:type="gramStart"/>
      <w:r>
        <w:rPr>
          <w:rFonts w:ascii="Georgia" w:eastAsia="Georgia" w:hAnsi="Georgia" w:cs="Georgia"/>
          <w:color w:val="2B2B2B"/>
          <w:sz w:val="22"/>
          <w:szCs w:val="22"/>
        </w:rPr>
        <w:t>the 2017</w:t>
      </w:r>
      <w:proofErr w:type="gramEnd"/>
      <w:r>
        <w:rPr>
          <w:rFonts w:ascii="Georgia" w:eastAsia="Georgia" w:hAnsi="Georgia" w:cs="Georgia"/>
          <w:color w:val="2B2B2B"/>
          <w:sz w:val="22"/>
          <w:szCs w:val="22"/>
        </w:rPr>
        <w:t>, this Mosaique is built to age.</w:t>
      </w:r>
    </w:p>
    <w:p w14:paraId="2A313E58" w14:textId="77777777" w:rsidR="00C67AC1" w:rsidRDefault="00C67AC1">
      <w:pPr>
        <w:pBdr>
          <w:top w:val="single" w:sz="2" w:space="10" w:color="D9D9D9"/>
        </w:pBdr>
        <w:spacing w:before="240" w:after="240"/>
      </w:pPr>
    </w:p>
    <w:p w14:paraId="3E318D56" w14:textId="77777777" w:rsidR="00C67AC1" w:rsidRDefault="00000000">
      <w:pPr>
        <w:spacing w:before="20"/>
        <w:jc w:val="center"/>
      </w:pPr>
      <w:r>
        <w:rPr>
          <w:rFonts w:ascii="Georgia" w:eastAsia="Georgia" w:hAnsi="Georgia" w:cs="Georgia"/>
          <w:color w:val="888888"/>
          <w:spacing w:val="8"/>
          <w:sz w:val="14"/>
          <w:szCs w:val="14"/>
        </w:rPr>
        <w:t xml:space="preserve">SURH </w:t>
      </w:r>
      <w:proofErr w:type="gramStart"/>
      <w:r>
        <w:rPr>
          <w:rFonts w:ascii="Georgia" w:eastAsia="Georgia" w:hAnsi="Georgia" w:cs="Georgia"/>
          <w:color w:val="888888"/>
          <w:spacing w:val="8"/>
          <w:sz w:val="14"/>
          <w:szCs w:val="14"/>
        </w:rPr>
        <w:t>CELLARS  ·</w:t>
      </w:r>
      <w:proofErr w:type="gramEnd"/>
      <w:r>
        <w:rPr>
          <w:rFonts w:ascii="Georgia" w:eastAsia="Georgia" w:hAnsi="Georgia" w:cs="Georgia"/>
          <w:color w:val="888888"/>
          <w:spacing w:val="8"/>
          <w:sz w:val="14"/>
          <w:szCs w:val="14"/>
        </w:rPr>
        <w:t xml:space="preserve">  NAPA VALLEY, </w:t>
      </w:r>
      <w:proofErr w:type="gramStart"/>
      <w:r>
        <w:rPr>
          <w:rFonts w:ascii="Georgia" w:eastAsia="Georgia" w:hAnsi="Georgia" w:cs="Georgia"/>
          <w:color w:val="888888"/>
          <w:spacing w:val="8"/>
          <w:sz w:val="14"/>
          <w:szCs w:val="14"/>
        </w:rPr>
        <w:t>CALIFORNIA  ·</w:t>
      </w:r>
      <w:proofErr w:type="gramEnd"/>
      <w:r>
        <w:rPr>
          <w:rFonts w:ascii="Georgia" w:eastAsia="Georgia" w:hAnsi="Georgia" w:cs="Georgia"/>
          <w:color w:val="888888"/>
          <w:spacing w:val="8"/>
          <w:sz w:val="14"/>
          <w:szCs w:val="14"/>
        </w:rPr>
        <w:t xml:space="preserve">  WWW.SURHCELLARS.COM</w:t>
      </w:r>
    </w:p>
    <w:sectPr w:rsidR="00C67AC1">
      <w:pgSz w:w="12240" w:h="15840"/>
      <w:pgMar w:top="900" w:right="1200" w:bottom="900" w:left="12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34CFA"/>
    <w:multiLevelType w:val="hybridMultilevel"/>
    <w:tmpl w:val="9690B6FA"/>
    <w:lvl w:ilvl="0" w:tplc="1640FBE0">
      <w:start w:val="1"/>
      <w:numFmt w:val="bullet"/>
      <w:lvlText w:val="●"/>
      <w:lvlJc w:val="left"/>
      <w:pPr>
        <w:ind w:left="720" w:hanging="360"/>
      </w:pPr>
    </w:lvl>
    <w:lvl w:ilvl="1" w:tplc="4AD2A80E">
      <w:start w:val="1"/>
      <w:numFmt w:val="bullet"/>
      <w:lvlText w:val="○"/>
      <w:lvlJc w:val="left"/>
      <w:pPr>
        <w:ind w:left="1440" w:hanging="360"/>
      </w:pPr>
    </w:lvl>
    <w:lvl w:ilvl="2" w:tplc="D2B29014">
      <w:start w:val="1"/>
      <w:numFmt w:val="bullet"/>
      <w:lvlText w:val="■"/>
      <w:lvlJc w:val="left"/>
      <w:pPr>
        <w:ind w:left="2160" w:hanging="360"/>
      </w:pPr>
    </w:lvl>
    <w:lvl w:ilvl="3" w:tplc="E4C6450A">
      <w:start w:val="1"/>
      <w:numFmt w:val="bullet"/>
      <w:lvlText w:val="●"/>
      <w:lvlJc w:val="left"/>
      <w:pPr>
        <w:ind w:left="2880" w:hanging="360"/>
      </w:pPr>
    </w:lvl>
    <w:lvl w:ilvl="4" w:tplc="E6A4CEAA">
      <w:start w:val="1"/>
      <w:numFmt w:val="bullet"/>
      <w:lvlText w:val="○"/>
      <w:lvlJc w:val="left"/>
      <w:pPr>
        <w:ind w:left="3600" w:hanging="360"/>
      </w:pPr>
    </w:lvl>
    <w:lvl w:ilvl="5" w:tplc="F6BAD6B0">
      <w:start w:val="1"/>
      <w:numFmt w:val="bullet"/>
      <w:lvlText w:val="■"/>
      <w:lvlJc w:val="left"/>
      <w:pPr>
        <w:ind w:left="4320" w:hanging="360"/>
      </w:pPr>
    </w:lvl>
    <w:lvl w:ilvl="6" w:tplc="9B769CD8">
      <w:start w:val="1"/>
      <w:numFmt w:val="bullet"/>
      <w:lvlText w:val="●"/>
      <w:lvlJc w:val="left"/>
      <w:pPr>
        <w:ind w:left="5040" w:hanging="360"/>
      </w:pPr>
    </w:lvl>
    <w:lvl w:ilvl="7" w:tplc="76A28BB4">
      <w:start w:val="1"/>
      <w:numFmt w:val="bullet"/>
      <w:lvlText w:val="●"/>
      <w:lvlJc w:val="left"/>
      <w:pPr>
        <w:ind w:left="5760" w:hanging="360"/>
      </w:pPr>
    </w:lvl>
    <w:lvl w:ilvl="8" w:tplc="0EA8C4FC">
      <w:start w:val="1"/>
      <w:numFmt w:val="bullet"/>
      <w:lvlText w:val="●"/>
      <w:lvlJc w:val="left"/>
      <w:pPr>
        <w:ind w:left="6480" w:hanging="360"/>
      </w:pPr>
    </w:lvl>
  </w:abstractNum>
  <w:num w:numId="1" w16cid:durableId="61120703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AC1"/>
    <w:rsid w:val="005B0758"/>
    <w:rsid w:val="00C319A8"/>
    <w:rsid w:val="00C67AC1"/>
    <w:rsid w:val="00CC12CD"/>
    <w:rsid w:val="00D8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20830"/>
  <w15:docId w15:val="{DD01E9E0-8953-450A-8963-298A80A2C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Rose Smalley</cp:lastModifiedBy>
  <cp:revision>4</cp:revision>
  <dcterms:created xsi:type="dcterms:W3CDTF">2026-08-27T22:13:00Z</dcterms:created>
  <dcterms:modified xsi:type="dcterms:W3CDTF">2026-08-27T22:15:00Z</dcterms:modified>
</cp:coreProperties>
</file>