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7B716" w14:textId="172CBA1F" w:rsidR="00BF5FE4" w:rsidRPr="00E539E5" w:rsidRDefault="003B1E5F">
      <w:pPr>
        <w:pStyle w:val="Body"/>
        <w:spacing w:line="480" w:lineRule="auto"/>
        <w:rPr>
          <w:rFonts w:ascii="Songti SC" w:eastAsia="Songti SC" w:hAnsi="Songti SC" w:cs="Times New Roman"/>
          <w:b/>
          <w:bCs/>
          <w:color w:val="auto"/>
          <w:sz w:val="24"/>
          <w:szCs w:val="24"/>
          <w:lang w:val="en-US" w:eastAsia="zh-CN"/>
        </w:rPr>
      </w:pPr>
      <w:r w:rsidRPr="0024166C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24166C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E539E5">
        <w:rPr>
          <w:rFonts w:ascii="Songti SC" w:eastAsia="Songti SC" w:hAnsi="Songti SC" w:cs="Times New Roman"/>
          <w:color w:val="auto"/>
          <w:sz w:val="24"/>
          <w:szCs w:val="24"/>
          <w:lang w:val="en-US"/>
        </w:rPr>
        <w:tab/>
      </w:r>
      <w:r w:rsidRPr="00E539E5">
        <w:rPr>
          <w:rFonts w:ascii="Songti SC" w:eastAsia="Songti SC" w:hAnsi="Songti SC" w:cs="Times New Roman"/>
          <w:color w:val="auto"/>
          <w:sz w:val="24"/>
          <w:szCs w:val="24"/>
          <w:lang w:val="en-US"/>
        </w:rPr>
        <w:tab/>
      </w:r>
      <w:r w:rsidRPr="00E539E5">
        <w:rPr>
          <w:rFonts w:ascii="Songti SC" w:eastAsia="Songti SC" w:hAnsi="Songti SC" w:cs="Times New Roman"/>
          <w:color w:val="auto"/>
          <w:sz w:val="24"/>
          <w:szCs w:val="24"/>
          <w:lang w:val="en-US"/>
        </w:rPr>
        <w:tab/>
      </w:r>
      <w:r w:rsidR="00B76EA5" w:rsidRPr="00E539E5">
        <w:rPr>
          <w:rFonts w:ascii="Songti SC" w:eastAsia="Songti SC" w:hAnsi="Songti SC" w:cs="Times New Roman" w:hint="eastAsia"/>
          <w:b/>
          <w:bCs/>
          <w:color w:val="auto"/>
          <w:sz w:val="24"/>
          <w:szCs w:val="24"/>
          <w:lang w:val="en-US" w:eastAsia="zh-CN"/>
        </w:rPr>
        <w:t>艾未未是真正的破坏</w:t>
      </w:r>
      <w:r w:rsidR="00CD1772" w:rsidRPr="00E539E5">
        <w:rPr>
          <w:rFonts w:ascii="Songti SC" w:eastAsia="Songti SC" w:hAnsi="Songti SC" w:cs="Times New Roman" w:hint="eastAsia"/>
          <w:b/>
          <w:bCs/>
          <w:color w:val="auto"/>
          <w:sz w:val="24"/>
          <w:szCs w:val="24"/>
          <w:lang w:val="en-US" w:eastAsia="zh-CN"/>
        </w:rPr>
        <w:t>家</w:t>
      </w:r>
      <w:r w:rsidR="00B76EA5" w:rsidRPr="00E539E5">
        <w:rPr>
          <w:rFonts w:ascii="Songti SC" w:eastAsia="Songti SC" w:hAnsi="Songti SC" w:cs="Times New Roman" w:hint="eastAsia"/>
          <w:b/>
          <w:bCs/>
          <w:color w:val="auto"/>
          <w:sz w:val="24"/>
          <w:szCs w:val="24"/>
          <w:lang w:val="en-US" w:eastAsia="zh-CN"/>
        </w:rPr>
        <w:t>吗</w:t>
      </w:r>
      <w:r w:rsidRPr="00E539E5">
        <w:rPr>
          <w:rFonts w:ascii="Songti SC" w:eastAsia="Songti SC" w:hAnsi="Songti SC" w:cs="Times New Roman"/>
          <w:b/>
          <w:bCs/>
          <w:color w:val="auto"/>
          <w:sz w:val="24"/>
          <w:szCs w:val="24"/>
          <w:lang w:val="en-US" w:eastAsia="zh-CN"/>
        </w:rPr>
        <w:t>?</w:t>
      </w:r>
      <w:r w:rsidRPr="00E539E5">
        <w:rPr>
          <w:rFonts w:ascii="Songti SC" w:eastAsia="Songti SC" w:hAnsi="Songti SC" w:cs="Times New Roman"/>
          <w:color w:val="auto"/>
          <w:sz w:val="24"/>
          <w:szCs w:val="24"/>
          <w:lang w:val="en-US" w:eastAsia="zh-CN"/>
        </w:rPr>
        <w:t xml:space="preserve"> </w:t>
      </w:r>
    </w:p>
    <w:p w14:paraId="52278CAD" w14:textId="03DE1077" w:rsidR="00BF5FE4" w:rsidRPr="00E539E5" w:rsidRDefault="00B76EA5" w:rsidP="00E539E5">
      <w:pPr>
        <w:rPr>
          <w:rFonts w:ascii="Songti SC" w:eastAsia="Songti SC" w:hAnsi="Songti SC"/>
          <w:bdr w:val="none" w:sz="0" w:space="0" w:color="auto"/>
          <w:lang w:eastAsia="zh-CN"/>
        </w:rPr>
      </w:pPr>
      <w:r w:rsidRPr="00E539E5">
        <w:rPr>
          <w:rFonts w:ascii="Songti SC" w:eastAsia="Songti SC" w:hAnsi="Songti SC"/>
          <w:lang w:eastAsia="zh-CN"/>
        </w:rPr>
        <w:tab/>
      </w:r>
      <w:r w:rsidRPr="00E539E5">
        <w:rPr>
          <w:rFonts w:ascii="Songti SC" w:eastAsia="Songti SC" w:hAnsi="Songti SC" w:hint="eastAsia"/>
          <w:lang w:eastAsia="zh-CN"/>
        </w:rPr>
        <w:t>在</w:t>
      </w:r>
      <w:r w:rsidR="001B7F93" w:rsidRPr="00E539E5">
        <w:rPr>
          <w:rFonts w:ascii="Songti SC" w:eastAsia="Songti SC" w:hAnsi="Songti SC" w:hint="eastAsia"/>
          <w:lang w:eastAsia="zh-CN"/>
        </w:rPr>
        <w:t>挪威作家</w:t>
      </w:r>
      <w:r w:rsidR="001B7F93" w:rsidRPr="00E539E5">
        <w:rPr>
          <w:rFonts w:ascii="Songti SC" w:eastAsia="Songti SC" w:hAnsi="Songti SC" w:cs="MS Gothic" w:hint="eastAsia"/>
          <w:color w:val="202124"/>
          <w:bdr w:val="none" w:sz="0" w:space="0" w:color="auto"/>
          <w:shd w:val="clear" w:color="auto" w:fill="FFFFFF"/>
          <w:lang w:eastAsia="zh-CN"/>
        </w:rPr>
        <w:t>卡</w:t>
      </w:r>
      <w:r w:rsidR="001B7F93" w:rsidRPr="00E539E5">
        <w:rPr>
          <w:rFonts w:ascii="Songti SC" w:eastAsia="Songti SC" w:hAnsi="Songti SC" w:cs="Yu Gothic" w:hint="eastAsia"/>
          <w:color w:val="202124"/>
          <w:bdr w:val="none" w:sz="0" w:space="0" w:color="auto"/>
          <w:shd w:val="clear" w:color="auto" w:fill="FFFFFF"/>
          <w:lang w:eastAsia="zh-CN"/>
        </w:rPr>
        <w:t>尔</w:t>
      </w:r>
      <w:r w:rsidR="001B7F93" w:rsidRPr="00E539E5">
        <w:rPr>
          <w:rFonts w:ascii="Songti SC" w:eastAsia="Songti SC" w:hAnsi="Songti SC" w:cs="Arial"/>
          <w:color w:val="202124"/>
          <w:bdr w:val="none" w:sz="0" w:space="0" w:color="auto"/>
          <w:shd w:val="clear" w:color="auto" w:fill="FFFFFF"/>
          <w:lang w:eastAsia="zh-CN"/>
        </w:rPr>
        <w:t>·</w:t>
      </w:r>
      <w:r w:rsidR="001B7F93" w:rsidRPr="00E539E5">
        <w:rPr>
          <w:rFonts w:ascii="Songti SC" w:eastAsia="Songti SC" w:hAnsi="Songti SC" w:cs="MS Gothic" w:hint="eastAsia"/>
          <w:color w:val="202124"/>
          <w:bdr w:val="none" w:sz="0" w:space="0" w:color="auto"/>
          <w:shd w:val="clear" w:color="auto" w:fill="FFFFFF"/>
          <w:lang w:eastAsia="zh-CN"/>
        </w:rPr>
        <w:t>奥</w:t>
      </w:r>
      <w:r w:rsidR="001B7F93" w:rsidRPr="00E539E5">
        <w:rPr>
          <w:rFonts w:ascii="Songti SC" w:eastAsia="Songti SC" w:hAnsi="Songti SC" w:cs="Microsoft JhengHei" w:hint="eastAsia"/>
          <w:color w:val="202124"/>
          <w:bdr w:val="none" w:sz="0" w:space="0" w:color="auto"/>
          <w:shd w:val="clear" w:color="auto" w:fill="FFFFFF"/>
          <w:lang w:eastAsia="zh-CN"/>
        </w:rPr>
        <w:t>韦</w:t>
      </w:r>
      <w:r w:rsidR="001B7F93" w:rsidRPr="00E539E5">
        <w:rPr>
          <w:rFonts w:ascii="Songti SC" w:eastAsia="Songti SC" w:hAnsi="Songti SC" w:cs="Arial"/>
          <w:color w:val="202124"/>
          <w:bdr w:val="none" w:sz="0" w:space="0" w:color="auto"/>
          <w:shd w:val="clear" w:color="auto" w:fill="FFFFFF"/>
          <w:lang w:eastAsia="zh-CN"/>
        </w:rPr>
        <w:t>·</w:t>
      </w:r>
      <w:r w:rsidR="001B7F93" w:rsidRPr="00E539E5">
        <w:rPr>
          <w:rFonts w:ascii="Songti SC" w:eastAsia="Songti SC" w:hAnsi="Songti SC" w:cs="MS Gothic" w:hint="eastAsia"/>
          <w:color w:val="202124"/>
          <w:bdr w:val="none" w:sz="0" w:space="0" w:color="auto"/>
          <w:shd w:val="clear" w:color="auto" w:fill="FFFFFF"/>
          <w:lang w:eastAsia="zh-CN"/>
        </w:rPr>
        <w:t>克瑙斯</w:t>
      </w:r>
      <w:r w:rsidR="001B7F93" w:rsidRPr="00E539E5">
        <w:rPr>
          <w:rFonts w:ascii="Songti SC" w:eastAsia="Songti SC" w:hAnsi="Songti SC" w:cs="MS Gothic"/>
          <w:color w:val="202124"/>
          <w:bdr w:val="none" w:sz="0" w:space="0" w:color="auto"/>
          <w:shd w:val="clear" w:color="auto" w:fill="FFFFFF"/>
          <w:lang w:eastAsia="zh-CN"/>
        </w:rPr>
        <w:t>高</w:t>
      </w:r>
      <w:r w:rsidR="001B7F93" w:rsidRPr="00E539E5">
        <w:rPr>
          <w:rFonts w:ascii="Songti SC" w:eastAsia="Songti SC" w:hAnsi="Songti SC" w:cs="MS Gothic" w:hint="eastAsia"/>
          <w:color w:val="202124"/>
          <w:bdr w:val="none" w:sz="0" w:space="0" w:color="auto"/>
          <w:shd w:val="clear" w:color="auto" w:fill="FFFFFF"/>
          <w:lang w:eastAsia="zh-CN"/>
        </w:rPr>
        <w:t>（</w:t>
      </w:r>
      <w:r w:rsidRPr="00E539E5">
        <w:rPr>
          <w:rFonts w:ascii="Songti SC" w:eastAsia="Songti SC" w:hAnsi="Songti SC" w:hint="eastAsia"/>
          <w:lang w:eastAsia="zh-CN"/>
        </w:rPr>
        <w:t xml:space="preserve">Karl Ove </w:t>
      </w:r>
      <w:proofErr w:type="spellStart"/>
      <w:r w:rsidRPr="00E539E5">
        <w:rPr>
          <w:rFonts w:ascii="Songti SC" w:eastAsia="Songti SC" w:hAnsi="Songti SC" w:hint="eastAsia"/>
          <w:lang w:eastAsia="zh-CN"/>
        </w:rPr>
        <w:t>Knausgaard</w:t>
      </w:r>
      <w:proofErr w:type="spellEnd"/>
      <w:r w:rsidR="001B7F93" w:rsidRPr="00E539E5">
        <w:rPr>
          <w:rFonts w:ascii="Songti SC" w:eastAsia="Songti SC" w:hAnsi="Songti SC" w:hint="eastAsia"/>
          <w:lang w:eastAsia="zh-CN"/>
        </w:rPr>
        <w:t>）</w:t>
      </w:r>
      <w:r w:rsidRPr="00E539E5">
        <w:rPr>
          <w:rFonts w:ascii="Songti SC" w:eastAsia="Songti SC" w:hAnsi="Songti SC" w:hint="eastAsia"/>
          <w:lang w:eastAsia="zh-CN"/>
        </w:rPr>
        <w:t>的文章中，故事的主角安塞姆·基弗（Anselm Kiefer）大胆地宣称：“每个艺术家都是偶像破坏</w:t>
      </w:r>
      <w:r w:rsidR="00E539E5" w:rsidRPr="00E539E5">
        <w:rPr>
          <w:rFonts w:ascii="Songti SC" w:eastAsia="Songti SC" w:hAnsi="Songti SC" w:hint="eastAsia"/>
          <w:lang w:eastAsia="zh-CN"/>
        </w:rPr>
        <w:t>家</w:t>
      </w:r>
      <w:r w:rsidRPr="00E539E5">
        <w:rPr>
          <w:rFonts w:ascii="Songti SC" w:eastAsia="Songti SC" w:hAnsi="Songti SC" w:hint="eastAsia"/>
          <w:lang w:eastAsia="zh-CN"/>
        </w:rPr>
        <w:t>！”</w:t>
      </w:r>
      <w:r w:rsidR="00E539E5" w:rsidRPr="00E539E5">
        <w:rPr>
          <w:rFonts w:ascii="Songti SC" w:eastAsia="Songti SC" w:hAnsi="Songti SC"/>
          <w:vertAlign w:val="superscript"/>
        </w:rPr>
        <w:t xml:space="preserve"> </w:t>
      </w:r>
      <w:r w:rsidR="00E539E5" w:rsidRPr="00E539E5">
        <w:rPr>
          <w:rFonts w:ascii="Songti SC" w:eastAsia="Songti SC" w:hAnsi="Songti SC"/>
          <w:vertAlign w:val="superscript"/>
        </w:rPr>
        <w:footnoteReference w:id="2"/>
      </w:r>
      <w:r w:rsidR="00E539E5" w:rsidRPr="00E539E5">
        <w:rPr>
          <w:rFonts w:ascii="Songti SC" w:eastAsia="Songti SC" w:hAnsi="Songti SC"/>
        </w:rPr>
        <w:t xml:space="preserve"> </w:t>
      </w:r>
      <w:r w:rsidR="00E539E5" w:rsidRPr="00E539E5">
        <w:rPr>
          <w:rFonts w:ascii="Songti SC" w:eastAsia="Songti SC" w:hAnsi="Songti SC"/>
          <w:lang w:eastAsia="zh-CN"/>
        </w:rPr>
        <w:t xml:space="preserve"> </w:t>
      </w:r>
      <w:r w:rsidRPr="00E539E5">
        <w:rPr>
          <w:rFonts w:ascii="Songti SC" w:eastAsia="Songti SC" w:hAnsi="Songti SC" w:hint="eastAsia"/>
          <w:lang w:eastAsia="zh-CN"/>
        </w:rPr>
        <w:t>该声明提出了一</w:t>
      </w:r>
      <w:r w:rsidR="001B7F93" w:rsidRPr="00E539E5">
        <w:rPr>
          <w:rFonts w:ascii="Songti SC" w:eastAsia="Songti SC" w:hAnsi="Songti SC" w:hint="eastAsia"/>
          <w:lang w:eastAsia="zh-CN"/>
        </w:rPr>
        <w:t>条</w:t>
      </w:r>
      <w:r w:rsidRPr="00E539E5">
        <w:rPr>
          <w:rFonts w:ascii="Songti SC" w:eastAsia="Songti SC" w:hAnsi="Songti SC" w:hint="eastAsia"/>
          <w:lang w:eastAsia="zh-CN"/>
        </w:rPr>
        <w:t>必不可少的规则</w:t>
      </w:r>
      <w:r w:rsidR="001B7F93" w:rsidRPr="00E539E5">
        <w:rPr>
          <w:rFonts w:ascii="Songti SC" w:eastAsia="Songti SC" w:hAnsi="Songti SC" w:hint="eastAsia"/>
          <w:lang w:eastAsia="zh-CN"/>
        </w:rPr>
        <w:t>，用于确定对象是否为真正的破坏</w:t>
      </w:r>
      <w:r w:rsidR="00E539E5" w:rsidRPr="00E539E5">
        <w:rPr>
          <w:rFonts w:ascii="Songti SC" w:eastAsia="Songti SC" w:hAnsi="Songti SC" w:hint="eastAsia"/>
          <w:lang w:eastAsia="zh-CN"/>
        </w:rPr>
        <w:t>家</w:t>
      </w:r>
      <w:r w:rsidRPr="00E539E5">
        <w:rPr>
          <w:rFonts w:ascii="Songti SC" w:eastAsia="Songti SC" w:hAnsi="Songti SC" w:hint="eastAsia"/>
          <w:lang w:eastAsia="zh-CN"/>
        </w:rPr>
        <w:t>：</w:t>
      </w:r>
      <w:r w:rsidR="001B7F93" w:rsidRPr="00E539E5">
        <w:rPr>
          <w:rFonts w:ascii="Songti SC" w:eastAsia="Songti SC" w:hAnsi="Songti SC" w:hint="eastAsia"/>
          <w:lang w:eastAsia="zh-CN"/>
        </w:rPr>
        <w:t>破坏的</w:t>
      </w:r>
      <w:r w:rsidRPr="00E539E5">
        <w:rPr>
          <w:rFonts w:ascii="Songti SC" w:eastAsia="Songti SC" w:hAnsi="Songti SC" w:hint="eastAsia"/>
          <w:lang w:eastAsia="zh-CN"/>
        </w:rPr>
        <w:t>“施暴者”必然是“</w:t>
      </w:r>
      <w:r w:rsidR="001B7F93" w:rsidRPr="00E539E5">
        <w:rPr>
          <w:rFonts w:ascii="Songti SC" w:eastAsia="Songti SC" w:hAnsi="Songti SC" w:hint="eastAsia"/>
          <w:lang w:eastAsia="zh-CN"/>
        </w:rPr>
        <w:t>偶像</w:t>
      </w:r>
      <w:r w:rsidRPr="00E539E5">
        <w:rPr>
          <w:rFonts w:ascii="Songti SC" w:eastAsia="Songti SC" w:hAnsi="Songti SC" w:hint="eastAsia"/>
          <w:lang w:eastAsia="zh-CN"/>
        </w:rPr>
        <w:t>破坏者”。</w:t>
      </w:r>
    </w:p>
    <w:p w14:paraId="524C9FD7" w14:textId="2A9F8586" w:rsidR="00BF5FE4" w:rsidRPr="0012658D" w:rsidRDefault="001B7F93" w:rsidP="0012658D">
      <w:pPr>
        <w:rPr>
          <w:rFonts w:ascii="Songti SC" w:eastAsia="Songti SC" w:hAnsi="Songti SC"/>
          <w:bdr w:val="none" w:sz="0" w:space="0" w:color="auto"/>
          <w:lang w:eastAsia="zh-CN"/>
        </w:rPr>
      </w:pPr>
      <w:r>
        <w:rPr>
          <w:lang w:eastAsia="zh-CN"/>
        </w:rPr>
        <w:tab/>
      </w:r>
      <w:r w:rsidRPr="00E539E5">
        <w:rPr>
          <w:rFonts w:ascii="Songti SC" w:eastAsia="Songti SC" w:hAnsi="Songti SC" w:hint="eastAsia"/>
          <w:lang w:eastAsia="zh-CN"/>
        </w:rPr>
        <w:t>如果以对“破坏主义”的流行理解，及</w:t>
      </w:r>
      <w:r w:rsidR="00A104A8">
        <w:rPr>
          <w:rFonts w:ascii="Songti SC" w:eastAsia="Songti SC" w:hAnsi="Songti SC" w:hint="eastAsia"/>
          <w:lang w:eastAsia="zh-CN"/>
        </w:rPr>
        <w:t>摔瓮</w:t>
      </w:r>
      <w:r w:rsidR="002D2B87" w:rsidRPr="00E539E5">
        <w:rPr>
          <w:rFonts w:ascii="Songti SC" w:eastAsia="Songti SC" w:hAnsi="Songti SC" w:hint="eastAsia"/>
          <w:lang w:eastAsia="zh-CN"/>
        </w:rPr>
        <w:t>与此思潮</w:t>
      </w:r>
      <w:r w:rsidRPr="00E539E5">
        <w:rPr>
          <w:rFonts w:ascii="Songti SC" w:eastAsia="Songti SC" w:hAnsi="Songti SC" w:hint="eastAsia"/>
          <w:lang w:eastAsia="zh-CN"/>
        </w:rPr>
        <w:t>的</w:t>
      </w:r>
      <w:r w:rsidR="002D2B87" w:rsidRPr="00E539E5">
        <w:rPr>
          <w:rFonts w:ascii="Songti SC" w:eastAsia="Songti SC" w:hAnsi="Songti SC" w:hint="eastAsia"/>
          <w:lang w:eastAsia="zh-CN"/>
        </w:rPr>
        <w:t>有意联系</w:t>
      </w:r>
      <w:r w:rsidRPr="00E539E5">
        <w:rPr>
          <w:rFonts w:ascii="Songti SC" w:eastAsia="Songti SC" w:hAnsi="Songti SC" w:hint="eastAsia"/>
          <w:lang w:eastAsia="zh-CN"/>
        </w:rPr>
        <w:t>来判断，艾未未的作品《</w:t>
      </w:r>
      <w:r w:rsidRPr="00E539E5">
        <w:rPr>
          <w:rFonts w:ascii="Songti SC" w:eastAsia="Songti SC" w:hAnsi="Songti SC" w:hint="eastAsia"/>
          <w:color w:val="000000" w:themeColor="text1"/>
          <w:lang w:eastAsia="zh-CN"/>
        </w:rPr>
        <w:t>摔碎一</w:t>
      </w:r>
      <w:r w:rsidR="00E539E5" w:rsidRPr="00E539E5">
        <w:rPr>
          <w:rFonts w:ascii="Songti SC" w:eastAsia="Songti SC" w:hAnsi="Songti SC" w:hint="eastAsia"/>
          <w:color w:val="000000" w:themeColor="text1"/>
          <w:lang w:eastAsia="zh-CN"/>
        </w:rPr>
        <w:t>只</w:t>
      </w:r>
      <w:r w:rsidRPr="00E539E5">
        <w:rPr>
          <w:rFonts w:ascii="Songti SC" w:eastAsia="Songti SC" w:hAnsi="Songti SC" w:hint="eastAsia"/>
          <w:color w:val="000000" w:themeColor="text1"/>
          <w:lang w:eastAsia="zh-CN"/>
        </w:rPr>
        <w:t>汉代古</w:t>
      </w:r>
      <w:r w:rsidRPr="00E539E5">
        <w:rPr>
          <w:rFonts w:ascii="Songti SC" w:eastAsia="Songti SC" w:hAnsi="Songti SC" w:cs="MS Gothic"/>
          <w:color w:val="000000" w:themeColor="text1"/>
          <w:bdr w:val="none" w:sz="0" w:space="0" w:color="auto"/>
          <w:shd w:val="clear" w:color="auto" w:fill="FFFFFF"/>
          <w:lang w:eastAsia="zh-CN"/>
        </w:rPr>
        <w:t>瓮</w:t>
      </w:r>
      <w:r w:rsidRPr="00E539E5">
        <w:rPr>
          <w:rFonts w:ascii="Songti SC" w:eastAsia="Songti SC" w:hAnsi="Songti SC" w:cs="MS Gothic" w:hint="eastAsia"/>
          <w:color w:val="000000" w:themeColor="text1"/>
          <w:bdr w:val="none" w:sz="0" w:space="0" w:color="auto"/>
          <w:shd w:val="clear" w:color="auto" w:fill="FFFFFF"/>
          <w:lang w:eastAsia="zh-CN"/>
        </w:rPr>
        <w:t>》</w:t>
      </w:r>
      <w:r w:rsidRPr="00E539E5">
        <w:rPr>
          <w:rFonts w:ascii="Songti SC" w:eastAsia="Songti SC" w:hAnsi="Songti SC" w:hint="eastAsia"/>
          <w:lang w:eastAsia="zh-CN"/>
        </w:rPr>
        <w:t>（图1）将</w:t>
      </w:r>
      <w:r w:rsidR="00D3584C">
        <w:rPr>
          <w:rFonts w:ascii="Songti SC" w:eastAsia="Songti SC" w:hAnsi="Songti SC" w:hint="eastAsia"/>
          <w:lang w:eastAsia="zh-CN"/>
        </w:rPr>
        <w:t>使</w:t>
      </w:r>
      <w:r w:rsidRPr="00E539E5">
        <w:rPr>
          <w:rFonts w:ascii="Songti SC" w:eastAsia="Songti SC" w:hAnsi="Songti SC" w:hint="eastAsia"/>
          <w:lang w:eastAsia="zh-CN"/>
        </w:rPr>
        <w:t>艾未未</w:t>
      </w:r>
      <w:r w:rsidR="00D3584C">
        <w:rPr>
          <w:rFonts w:ascii="Songti SC" w:eastAsia="Songti SC" w:hAnsi="Songti SC" w:hint="eastAsia"/>
          <w:lang w:eastAsia="zh-CN"/>
        </w:rPr>
        <w:t>轻易荣获</w:t>
      </w:r>
      <w:r w:rsidR="00E539E5" w:rsidRPr="00E539E5">
        <w:rPr>
          <w:rFonts w:ascii="Songti SC" w:eastAsia="Songti SC" w:hAnsi="Songti SC" w:hint="eastAsia"/>
          <w:lang w:eastAsia="zh-CN"/>
        </w:rPr>
        <w:t>破坏</w:t>
      </w:r>
      <w:r w:rsidR="00E539E5">
        <w:rPr>
          <w:rFonts w:ascii="Songti SC" w:eastAsia="Songti SC" w:hAnsi="Songti SC" w:hint="eastAsia"/>
          <w:lang w:eastAsia="zh-CN"/>
        </w:rPr>
        <w:t>家</w:t>
      </w:r>
      <w:r w:rsidR="002D2B87" w:rsidRPr="00E539E5">
        <w:rPr>
          <w:rFonts w:ascii="Songti SC" w:eastAsia="Songti SC" w:hAnsi="Songti SC" w:hint="eastAsia"/>
          <w:lang w:eastAsia="zh-CN"/>
        </w:rPr>
        <w:t>（</w:t>
      </w:r>
      <w:r w:rsidR="00E539E5" w:rsidRPr="00E539E5">
        <w:rPr>
          <w:rFonts w:ascii="Songti SC" w:eastAsia="Songti SC" w:hAnsi="Songti SC" w:hint="eastAsia"/>
          <w:lang w:eastAsia="zh-CN"/>
        </w:rPr>
        <w:t>iconoclast</w:t>
      </w:r>
      <w:r w:rsidR="002D2B87" w:rsidRPr="00E539E5">
        <w:rPr>
          <w:rFonts w:ascii="Songti SC" w:eastAsia="Songti SC" w:hAnsi="Songti SC" w:hint="eastAsia"/>
          <w:lang w:eastAsia="zh-CN"/>
        </w:rPr>
        <w:t>）的桂冠</w:t>
      </w:r>
      <w:r w:rsidRPr="00E539E5">
        <w:rPr>
          <w:rFonts w:ascii="Songti SC" w:eastAsia="Songti SC" w:hAnsi="Songti SC" w:hint="eastAsia"/>
          <w:lang w:eastAsia="zh-CN"/>
        </w:rPr>
        <w:t>。 从词源上讲，“</w:t>
      </w:r>
      <w:r w:rsidR="002D2B87" w:rsidRPr="00E539E5">
        <w:rPr>
          <w:rFonts w:ascii="Songti SC" w:eastAsia="Songti SC" w:hAnsi="Songti SC" w:hint="eastAsia"/>
          <w:lang w:eastAsia="zh-CN"/>
        </w:rPr>
        <w:t>icon（</w:t>
      </w:r>
      <w:r w:rsidRPr="00E539E5">
        <w:rPr>
          <w:rFonts w:ascii="Songti SC" w:eastAsia="Songti SC" w:hAnsi="Songti SC" w:hint="eastAsia"/>
          <w:lang w:eastAsia="zh-CN"/>
        </w:rPr>
        <w:t>图标</w:t>
      </w:r>
      <w:r w:rsidR="002D2B87" w:rsidRPr="00E539E5">
        <w:rPr>
          <w:rFonts w:ascii="Songti SC" w:eastAsia="Songti SC" w:hAnsi="Songti SC" w:hint="eastAsia"/>
          <w:lang w:eastAsia="zh-CN"/>
        </w:rPr>
        <w:t>）</w:t>
      </w:r>
      <w:r w:rsidRPr="00E539E5">
        <w:rPr>
          <w:rFonts w:ascii="Songti SC" w:eastAsia="Songti SC" w:hAnsi="Songti SC" w:hint="eastAsia"/>
          <w:lang w:eastAsia="zh-CN"/>
        </w:rPr>
        <w:t>”源自希腊语“ eikon”，意思是“相似性，图像”。 在一组类似三联画的照片中，</w:t>
      </w:r>
      <w:r w:rsidR="00E539E5">
        <w:rPr>
          <w:rFonts w:ascii="Songti SC" w:eastAsia="Songti SC" w:hAnsi="Songti SC" w:hint="eastAsia"/>
          <w:lang w:eastAsia="zh-CN"/>
        </w:rPr>
        <w:t>艾未未的</w:t>
      </w:r>
      <w:r w:rsidR="002D2B87" w:rsidRPr="00E539E5">
        <w:rPr>
          <w:rFonts w:ascii="Songti SC" w:eastAsia="Songti SC" w:hAnsi="Songti SC" w:hint="eastAsia"/>
          <w:lang w:eastAsia="zh-CN"/>
        </w:rPr>
        <w:t>镜头试图</w:t>
      </w:r>
      <w:r w:rsidRPr="00E539E5">
        <w:rPr>
          <w:rFonts w:ascii="Songti SC" w:eastAsia="Songti SC" w:hAnsi="Songti SC" w:hint="eastAsia"/>
          <w:lang w:eastAsia="zh-CN"/>
        </w:rPr>
        <w:t>捕捉到所谓汉代</w:t>
      </w:r>
      <w:r w:rsidR="002D2B87" w:rsidRPr="00E539E5">
        <w:rPr>
          <w:rFonts w:ascii="Songti SC" w:eastAsia="Songti SC" w:hAnsi="Songti SC" w:hint="eastAsia"/>
          <w:lang w:eastAsia="zh-CN"/>
        </w:rPr>
        <w:t>古</w:t>
      </w:r>
      <w:r w:rsidR="002D2B87" w:rsidRPr="00E539E5">
        <w:rPr>
          <w:rFonts w:ascii="Songti SC" w:eastAsia="Songti SC" w:hAnsi="Songti SC" w:cs="MS Gothic"/>
          <w:color w:val="000000" w:themeColor="text1"/>
          <w:bdr w:val="none" w:sz="0" w:space="0" w:color="auto"/>
          <w:shd w:val="clear" w:color="auto" w:fill="FFFFFF"/>
          <w:lang w:eastAsia="zh-CN"/>
        </w:rPr>
        <w:t>瓮</w:t>
      </w:r>
      <w:r w:rsidR="002D2B87" w:rsidRPr="00E539E5">
        <w:rPr>
          <w:rFonts w:ascii="Songti SC" w:eastAsia="Songti SC" w:hAnsi="Songti SC" w:hint="eastAsia"/>
          <w:lang w:eastAsia="zh-CN"/>
        </w:rPr>
        <w:t>在实时坠落过程</w:t>
      </w:r>
      <w:r w:rsidRPr="00E539E5">
        <w:rPr>
          <w:rFonts w:ascii="Songti SC" w:eastAsia="Songti SC" w:hAnsi="Songti SC" w:hint="eastAsia"/>
          <w:lang w:eastAsia="zh-CN"/>
        </w:rPr>
        <w:t>中的三个阶段</w:t>
      </w:r>
      <w:r w:rsidR="002D2B87" w:rsidRPr="00E539E5">
        <w:rPr>
          <w:rFonts w:ascii="Songti SC" w:eastAsia="Songti SC" w:hAnsi="Songti SC" w:hint="eastAsia"/>
          <w:lang w:eastAsia="zh-CN"/>
        </w:rPr>
        <w:t>。由画面，以下的</w:t>
      </w:r>
      <w:r w:rsidRPr="00E539E5">
        <w:rPr>
          <w:rFonts w:ascii="Songti SC" w:eastAsia="Songti SC" w:hAnsi="Songti SC" w:hint="eastAsia"/>
          <w:lang w:eastAsia="zh-CN"/>
        </w:rPr>
        <w:t>问题</w:t>
      </w:r>
      <w:r w:rsidR="002D2B87" w:rsidRPr="00E539E5">
        <w:rPr>
          <w:rFonts w:ascii="Songti SC" w:eastAsia="Songti SC" w:hAnsi="Songti SC" w:hint="eastAsia"/>
          <w:lang w:eastAsia="zh-CN"/>
        </w:rPr>
        <w:t>逐渐</w:t>
      </w:r>
      <w:r w:rsidR="0012658D">
        <w:rPr>
          <w:rFonts w:ascii="Songti SC" w:eastAsia="Songti SC" w:hAnsi="Songti SC" w:hint="eastAsia"/>
          <w:lang w:eastAsia="zh-CN"/>
        </w:rPr>
        <w:t>一一</w:t>
      </w:r>
      <w:r w:rsidR="002D2B87" w:rsidRPr="00E539E5">
        <w:rPr>
          <w:rFonts w:ascii="Songti SC" w:eastAsia="Songti SC" w:hAnsi="Songti SC" w:hint="eastAsia"/>
          <w:lang w:eastAsia="zh-CN"/>
        </w:rPr>
        <w:t>浮现</w:t>
      </w:r>
      <w:r w:rsidRPr="00E539E5">
        <w:rPr>
          <w:rFonts w:ascii="Songti SC" w:eastAsia="Songti SC" w:hAnsi="Songti SC" w:hint="eastAsia"/>
          <w:lang w:eastAsia="zh-CN"/>
        </w:rPr>
        <w:t>：艾未未故意或意外破坏的“</w:t>
      </w:r>
      <w:r w:rsidR="002D2B87" w:rsidRPr="00E539E5">
        <w:rPr>
          <w:rFonts w:ascii="Songti SC" w:eastAsia="Songti SC" w:hAnsi="Songti SC" w:hint="eastAsia"/>
          <w:lang w:eastAsia="zh-CN"/>
        </w:rPr>
        <w:t>相似性，图像</w:t>
      </w:r>
      <w:r w:rsidRPr="00E539E5">
        <w:rPr>
          <w:rFonts w:ascii="Songti SC" w:eastAsia="Songti SC" w:hAnsi="Songti SC" w:hint="eastAsia"/>
          <w:lang w:eastAsia="zh-CN"/>
        </w:rPr>
        <w:t>”</w:t>
      </w:r>
      <w:r w:rsidR="002D2B87" w:rsidRPr="00E539E5">
        <w:rPr>
          <w:rFonts w:ascii="Songti SC" w:eastAsia="Songti SC" w:hAnsi="Songti SC" w:hint="eastAsia"/>
          <w:lang w:eastAsia="zh-CN"/>
        </w:rPr>
        <w:t>到底</w:t>
      </w:r>
      <w:r w:rsidRPr="00E539E5">
        <w:rPr>
          <w:rFonts w:ascii="Songti SC" w:eastAsia="Songti SC" w:hAnsi="Songti SC" w:hint="eastAsia"/>
          <w:lang w:eastAsia="zh-CN"/>
        </w:rPr>
        <w:t>是什么？ 如果从表面上理解“真实”，“图像”的破坏（</w:t>
      </w:r>
      <w:r w:rsidR="000522F0" w:rsidRPr="00E539E5">
        <w:rPr>
          <w:rFonts w:ascii="Songti SC" w:eastAsia="Songti SC" w:hAnsi="Songti SC" w:hint="eastAsia"/>
          <w:lang w:eastAsia="zh-CN"/>
        </w:rPr>
        <w:t>“</w:t>
      </w:r>
      <w:r w:rsidR="002D2B87" w:rsidRPr="00E539E5">
        <w:rPr>
          <w:rFonts w:ascii="Songti SC" w:eastAsia="Songti SC" w:hAnsi="Songti SC" w:hint="eastAsia"/>
          <w:lang w:eastAsia="zh-CN"/>
        </w:rPr>
        <w:t>-clast</w:t>
      </w:r>
      <w:r w:rsidR="000522F0" w:rsidRPr="00E539E5">
        <w:rPr>
          <w:rFonts w:ascii="Songti SC" w:eastAsia="Songti SC" w:hAnsi="Songti SC" w:hint="eastAsia"/>
          <w:lang w:eastAsia="zh-CN"/>
        </w:rPr>
        <w:t>”</w:t>
      </w:r>
      <w:r w:rsidR="000522F0" w:rsidRPr="00E539E5">
        <w:rPr>
          <w:rFonts w:ascii="Songti SC" w:eastAsia="Songti SC" w:hAnsi="Songti SC" w:hint="eastAsia"/>
          <w:i/>
          <w:iCs/>
          <w:lang w:eastAsia="zh-CN"/>
        </w:rPr>
        <w:t xml:space="preserve"> </w:t>
      </w:r>
      <w:r w:rsidR="002D2B87" w:rsidRPr="00E539E5">
        <w:rPr>
          <w:rFonts w:ascii="Songti SC" w:eastAsia="Songti SC" w:hAnsi="Songti SC" w:hint="eastAsia"/>
          <w:lang w:eastAsia="zh-CN"/>
        </w:rPr>
        <w:t>后缀：意指</w:t>
      </w:r>
      <w:r w:rsidRPr="00E539E5">
        <w:rPr>
          <w:rFonts w:ascii="Songti SC" w:eastAsia="Songti SC" w:hAnsi="Songti SC" w:hint="eastAsia"/>
          <w:lang w:eastAsia="zh-CN"/>
        </w:rPr>
        <w:t>破损）与成为真</w:t>
      </w:r>
      <w:r w:rsidR="002D2B87" w:rsidRPr="00E539E5">
        <w:rPr>
          <w:rFonts w:ascii="Songti SC" w:eastAsia="Songti SC" w:hAnsi="Songti SC" w:hint="eastAsia"/>
          <w:lang w:eastAsia="zh-CN"/>
        </w:rPr>
        <w:t>正的</w:t>
      </w:r>
      <w:r w:rsidRPr="00E539E5">
        <w:rPr>
          <w:rFonts w:ascii="Songti SC" w:eastAsia="Songti SC" w:hAnsi="Songti SC" w:hint="eastAsia"/>
          <w:lang w:eastAsia="zh-CN"/>
        </w:rPr>
        <w:t>破坏</w:t>
      </w:r>
      <w:r w:rsidR="0012658D">
        <w:rPr>
          <w:rFonts w:ascii="Songti SC" w:eastAsia="Songti SC" w:hAnsi="Songti SC" w:hint="eastAsia"/>
          <w:lang w:eastAsia="zh-CN"/>
        </w:rPr>
        <w:t>家</w:t>
      </w:r>
      <w:r w:rsidR="002D2B87" w:rsidRPr="00E539E5">
        <w:rPr>
          <w:rFonts w:ascii="Songti SC" w:eastAsia="Songti SC" w:hAnsi="Songti SC" w:hint="eastAsia"/>
          <w:lang w:eastAsia="zh-CN"/>
        </w:rPr>
        <w:t>（vandal）之间</w:t>
      </w:r>
      <w:r w:rsidRPr="00E539E5">
        <w:rPr>
          <w:rFonts w:ascii="Songti SC" w:eastAsia="Songti SC" w:hAnsi="Songti SC" w:hint="eastAsia"/>
          <w:lang w:eastAsia="zh-CN"/>
        </w:rPr>
        <w:t>有什么关系？</w:t>
      </w:r>
    </w:p>
    <w:p w14:paraId="13FD236A" w14:textId="77777777" w:rsidR="0012658D" w:rsidRDefault="000522F0" w:rsidP="0012658D">
      <w:pPr>
        <w:pStyle w:val="Body"/>
        <w:rPr>
          <w:rFonts w:ascii="Songti SC" w:eastAsia="Songti SC" w:hAnsi="Songti SC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zh-CN"/>
        </w:rPr>
        <w:tab/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基于这些问题，只有将“图像”扩展到行为艺术的领域，和行为过程中，由即时动作创建的图像场域，我们方能着手寻找一些突破口。图像是某种烙印，是对包括人类在内的世俗事物的模仿再现，即使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这些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事物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以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他者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之态，实存于世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。但是，我们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作为人类理解图像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的方式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，对于理解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破坏“相似性，图像”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的过程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，显得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至关重要。就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我们所知的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科学而言，只有人类才能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如此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理解图像。在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法国现象学家，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莫里斯·梅洛·庞蒂（Maurice Merleau-Ponty）的《塞尚的疑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惑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》中，人眼一见世界就已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然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创建了图像，但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绝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不是从物理和光学的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角度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所谓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对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事物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即时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反映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而已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。相比之下，从未知中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所筛选获取的，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经过处理的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，以备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理解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的种种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图像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，总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是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作为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心眼之间的结晶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B178E1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被不断创建于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身，烙印于</w:t>
      </w:r>
      <w:r w:rsidR="00E96B12" w:rsidRPr="0012658D">
        <w:rPr>
          <w:rFonts w:ascii="Songti SC" w:eastAsia="Songti SC" w:hAnsi="Songti SC" w:cs="Cambria" w:hint="eastAsia"/>
          <w:color w:val="auto"/>
          <w:sz w:val="24"/>
          <w:szCs w:val="24"/>
          <w:lang w:val="en-US" w:eastAsia="zh-CN"/>
        </w:rPr>
        <w:t>心。这种解释显然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偏离了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神经学对于人类视觉的笼统教义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。不过，当观众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将图像看作材料本身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，来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阅读生成的图像（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即使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在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行为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艺术中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，图像仅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为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示意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）时，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以上的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过程会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不断发生，并产生新的图像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。这些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新生的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图像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不同于创作</w:t>
      </w:r>
      <w:r w:rsidR="00E96B12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作品的原始参考，更迥异于艺术家创作之初，对于此参考的心中所想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</w:t>
      </w:r>
    </w:p>
    <w:p w14:paraId="7AF88136" w14:textId="028EF451" w:rsidR="00BF5FE4" w:rsidRPr="00DE2B20" w:rsidRDefault="00E96B12" w:rsidP="00DE2B20">
      <w:pPr>
        <w:pStyle w:val="Body"/>
        <w:ind w:firstLine="720"/>
        <w:rPr>
          <w:rFonts w:ascii="Songti SC" w:eastAsia="Songti SC" w:hAnsi="Songti SC" w:cs="Times New Roman"/>
          <w:color w:val="auto"/>
          <w:sz w:val="24"/>
          <w:szCs w:val="24"/>
          <w:lang w:eastAsia="zh-CN"/>
        </w:rPr>
      </w:pP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 xml:space="preserve">根据托宾·西伯斯（Tobin </w:t>
      </w:r>
      <w:proofErr w:type="spellStart"/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Siebers</w:t>
      </w:r>
      <w:proofErr w:type="spellEnd"/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）的说法，“审美形式可以指实在的事物，但它可能也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同样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要求其观者，读者或听众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，去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幻想一个虚构的指涉对象，而后者的真实性便成为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lastRenderedPageBreak/>
        <w:t>形式本身的同义词。”</w:t>
      </w:r>
      <w:r w:rsidR="0012658D" w:rsidRPr="0012658D">
        <w:rPr>
          <w:rFonts w:ascii="Songti SC" w:eastAsia="Songti SC" w:hAnsi="Songti SC" w:cs="Times New Roman"/>
          <w:color w:val="auto"/>
          <w:sz w:val="24"/>
          <w:szCs w:val="24"/>
          <w:vertAlign w:val="superscript"/>
          <w:lang w:eastAsia="zh-CN"/>
        </w:rPr>
        <w:t xml:space="preserve"> </w:t>
      </w:r>
      <w:r w:rsidR="0012658D" w:rsidRPr="0012658D">
        <w:rPr>
          <w:rFonts w:ascii="Songti SC" w:eastAsia="Songti SC" w:hAnsi="Songti SC" w:cs="Times New Roman"/>
          <w:color w:val="auto"/>
          <w:sz w:val="24"/>
          <w:szCs w:val="24"/>
          <w:vertAlign w:val="superscript"/>
        </w:rPr>
        <w:footnoteReference w:id="3"/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 xml:space="preserve"> 此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理论亦可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用于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理解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观众阅读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行为表演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的过程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。可以想象的是，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当他/她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开始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思考这些</w:t>
      </w:r>
      <w:r w:rsid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关于艾未未行为的照片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时，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他们作为迥异的个体，一定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会看到与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艺术家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构想作品时，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又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或他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构想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 xml:space="preserve">前所见不同的图像。 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从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照片记录的事件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本身出发，抵达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对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完整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古瓮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昂贵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预期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或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是难以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避免的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碎裂结局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观众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将会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在这两个端点之间，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找到一条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看似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合理的路线，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形成从前者之于后者的因果关系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 xml:space="preserve">。 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但此理论存在盲点：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即使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这些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随机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或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一定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生成的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图像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被</w:t>
      </w:r>
      <w:r w:rsidR="005D307D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（艺术家）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糟蹋</w:t>
      </w:r>
      <w:r w:rsidR="005D072E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殆尽</w:t>
      </w:r>
      <w:r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5D307D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这一条生成或诱导图像的绝对逻辑，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也</w:t>
      </w:r>
      <w:r w:rsidR="005D307D" w:rsidRPr="0012658D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不能轻易推演出“破坏主义”的 结论来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，更非“破坏家”的真实标准。</w:t>
      </w:r>
    </w:p>
    <w:p w14:paraId="2A820156" w14:textId="2399EA72" w:rsidR="00BF5FE4" w:rsidRPr="00BA10C4" w:rsidRDefault="005D307D" w:rsidP="00BA10C4">
      <w:pPr>
        <w:pStyle w:val="Body"/>
        <w:rPr>
          <w:rFonts w:ascii="Songti SC" w:eastAsia="Songti SC" w:hAnsi="Songti SC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zh-CN"/>
        </w:rPr>
        <w:tab/>
      </w:r>
      <w:r w:rsidR="00DE2B20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有人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认为“vandal（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破坏家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）”一词源于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日耳曼语中的“流浪”，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而后引申为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无意义/非理性的破坏行为。而在艺术语境中，“破坏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家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”这一术语的“有效性”，通常（但不总是）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总是以反证的形式，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依托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受制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于法律和社会的惯例。“破坏</w:t>
      </w:r>
      <w:r w:rsid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家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”的意义，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见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于现代财产法所规定的对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于经济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对象的“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非理性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破坏”，或在社会心理学的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范畴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内，对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社会尊严及广泛期许所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造成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的不可逆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 xml:space="preserve">损害。在托宾·西伯斯（Tobin </w:t>
      </w:r>
      <w:proofErr w:type="spellStart"/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Siebers</w:t>
      </w:r>
      <w:proofErr w:type="spellEnd"/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）的著作《残疾美学》（Disability Aesthetics）题为“残疾与艺术破坏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主义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”的一章中，西伯斯声称“被破坏的图像无法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再现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受伤前的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内容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，但我们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作为观众总拒绝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接受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这一现实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实际上，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破坏主义的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行为改变了艺术品的参照功能，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并在‘残缺’的再现中，擅自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创造了新的</w:t>
      </w:r>
      <w:r w:rsidR="00FF67C6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图像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。”</w:t>
      </w:r>
      <w:r w:rsidR="00DE2B20" w:rsidRPr="00DE2B20">
        <w:rPr>
          <w:rFonts w:ascii="Songti SC" w:eastAsia="Songti SC" w:hAnsi="Songti SC" w:cs="Times New Roman"/>
          <w:color w:val="auto"/>
          <w:sz w:val="24"/>
          <w:szCs w:val="24"/>
          <w:vertAlign w:val="superscript"/>
          <w:lang w:eastAsia="zh-CN"/>
        </w:rPr>
        <w:t xml:space="preserve"> </w:t>
      </w:r>
      <w:r w:rsidR="00DE2B20" w:rsidRPr="00DE2B20">
        <w:rPr>
          <w:rFonts w:ascii="Songti SC" w:eastAsia="Songti SC" w:hAnsi="Songti SC" w:cs="Times New Roman"/>
          <w:color w:val="auto"/>
          <w:sz w:val="24"/>
          <w:szCs w:val="24"/>
          <w:vertAlign w:val="superscript"/>
        </w:rPr>
        <w:footnoteReference w:id="4"/>
      </w:r>
      <w:r w:rsidR="00DE2B20" w:rsidRPr="00DE2B20">
        <w:rPr>
          <w:rFonts w:ascii="Songti SC" w:eastAsia="Songti SC" w:hAnsi="Songti SC" w:cs="Times New Roman"/>
          <w:color w:val="auto"/>
          <w:sz w:val="24"/>
          <w:szCs w:val="24"/>
          <w:vertAlign w:val="superscript"/>
          <w:lang w:eastAsia="zh-CN"/>
        </w:rPr>
        <w:t xml:space="preserve"> 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对于</w:t>
      </w:r>
      <w:r w:rsidR="00A50F39" w:rsidRPr="00BA10C4">
        <w:rPr>
          <w:rFonts w:ascii="Songti SC" w:eastAsia="Songti SC" w:hAnsi="Songti SC" w:cs="Times New Roman" w:hint="eastAsia"/>
          <w:color w:val="000000" w:themeColor="text1"/>
          <w:sz w:val="24"/>
          <w:szCs w:val="24"/>
          <w:lang w:val="en-US" w:eastAsia="zh-CN"/>
        </w:rPr>
        <w:t>《摔碎一支汉代古</w:t>
      </w:r>
      <w:r w:rsidR="00A50F39" w:rsidRPr="00BA10C4">
        <w:rPr>
          <w:rFonts w:ascii="Songti SC" w:eastAsia="Songti SC" w:hAnsi="Songti SC" w:cs="MS Gothic"/>
          <w:color w:val="000000" w:themeColor="text1"/>
          <w:sz w:val="24"/>
          <w:szCs w:val="24"/>
          <w:bdr w:val="none" w:sz="0" w:space="0" w:color="auto"/>
          <w:shd w:val="clear" w:color="auto" w:fill="FFFFFF"/>
          <w:lang w:eastAsia="zh-CN"/>
        </w:rPr>
        <w:t>瓮</w:t>
      </w:r>
      <w:r w:rsidR="00A50F39" w:rsidRPr="00BA10C4">
        <w:rPr>
          <w:rFonts w:ascii="Songti SC" w:eastAsia="Songti SC" w:hAnsi="Songti SC" w:cs="MS Gothic" w:hint="eastAsia"/>
          <w:color w:val="000000" w:themeColor="text1"/>
          <w:sz w:val="24"/>
          <w:szCs w:val="24"/>
          <w:bdr w:val="none" w:sz="0" w:space="0" w:color="auto"/>
          <w:shd w:val="clear" w:color="auto" w:fill="FFFFFF"/>
          <w:lang w:eastAsia="zh-CN"/>
        </w:rPr>
        <w:t>》</w:t>
      </w:r>
      <w:r w:rsidR="00A50F39" w:rsidRPr="00BA10C4">
        <w:rPr>
          <w:rFonts w:ascii="Songti SC" w:eastAsia="Songti SC" w:hAnsi="Songti SC" w:cs="Times New Roman" w:hint="eastAsia"/>
          <w:color w:val="000000" w:themeColor="text1"/>
          <w:sz w:val="24"/>
          <w:szCs w:val="24"/>
          <w:lang w:val="en-US" w:eastAsia="zh-CN"/>
        </w:rPr>
        <w:t>，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西伯斯的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论点可能会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为我们理解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作品和艺术家带来一些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新的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启发。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若将西伯斯的“残缺”引申为破坏的结果和目的，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艾未未的表演及其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对表演的摄影再现，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改变或至少破坏了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古瓮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的参照功能，并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由此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创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建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了新的图像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——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此图像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既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非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完整的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古瓮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也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非其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破损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版本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，而是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一套全新的图像与参照系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作为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行为表演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“摔瓮”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这一辩证维新的</w:t>
      </w:r>
      <w:r w:rsidR="002E59D3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动作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，又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将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新的单位与势能</w:t>
      </w:r>
      <w:r w:rsidR="002E59D3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载入了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观众构图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</w:t>
      </w:r>
      <w:r w:rsidR="00A50F39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连续</w:t>
      </w:r>
      <w:r w:rsidR="002E59D3"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进程中，源源不绝</w:t>
      </w:r>
      <w:r w:rsidRPr="00DE2B20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</w:t>
      </w:r>
    </w:p>
    <w:p w14:paraId="5879F883" w14:textId="3E23AA7F" w:rsidR="00BF5FE4" w:rsidRPr="00EC56EB" w:rsidRDefault="002E59D3" w:rsidP="00EC56EB">
      <w:pPr>
        <w:pStyle w:val="Body"/>
        <w:rPr>
          <w:rFonts w:ascii="Songti SC" w:eastAsia="Songti SC" w:hAnsi="Songti SC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zh-CN"/>
        </w:rPr>
        <w:tab/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古瓮的原始参照功能在于其“氛围”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/</w:t>
      </w:r>
      <w:r w:rsidR="00BA10C4">
        <w:rPr>
          <w:rFonts w:ascii="Songti SC" w:eastAsia="Songti SC" w:hAnsi="Songti SC" w:cs="Times New Roman"/>
          <w:color w:val="auto"/>
          <w:sz w:val="24"/>
          <w:szCs w:val="24"/>
          <w:lang w:val="en-US" w:eastAsia="zh-CN"/>
        </w:rPr>
        <w:t>“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光环”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本身，和破坏此瓮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（及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其他材料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）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的仪式性价值。在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德国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作家沃尔特·本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雅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明（Walter Benjamin）的经典文章《机械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复制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时代的艺术作品》中，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作者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曾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指出：“重要的是，艺术作品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本身及其参照于‘气氛”的一贯存在，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从未与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艺术的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 xml:space="preserve">仪式功能完全分离”，换句话说， 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艺术的存在从未真正脱离于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“其在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（萨满）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仪式中的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根源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”和“其原始使用价值的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定位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”。根据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《史记》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和《礼记》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的文献记载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若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考虑儒家的官方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独尊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地位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和其理论的文化“正统性”</w:t>
      </w:r>
      <w:r w:rsidR="00BA10C4" w:rsidRPr="00BA10C4">
        <w:rPr>
          <w:rFonts w:ascii="Songti SC" w:eastAsia="Songti SC" w:hAnsi="Songti SC" w:cs="Times New Roman"/>
          <w:color w:val="auto"/>
          <w:sz w:val="24"/>
          <w:szCs w:val="24"/>
          <w:vertAlign w:val="superscript"/>
          <w:lang w:eastAsia="zh-CN"/>
        </w:rPr>
        <w:t xml:space="preserve"> </w:t>
      </w:r>
      <w:r w:rsidR="00BA10C4" w:rsidRPr="00BA10C4">
        <w:rPr>
          <w:rFonts w:ascii="Songti SC" w:eastAsia="Songti SC" w:hAnsi="Songti SC" w:cs="Times New Roman"/>
          <w:color w:val="auto"/>
          <w:sz w:val="24"/>
          <w:szCs w:val="24"/>
          <w:vertAlign w:val="superscript"/>
        </w:rPr>
        <w:footnoteReference w:id="5"/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，汉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朝的大部分器皿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包括了无论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lastRenderedPageBreak/>
        <w:t>皇家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或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民用的瓮器，都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被认为是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政府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或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民间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仪式中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用于培养社会家庭价值观的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必要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组成部分。《礼记》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曾重点强调了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不同的容器</w:t>
      </w:r>
      <w:r w:rsidR="00EB1ABA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相应仪式功能，任何错</w:t>
      </w:r>
      <w:r w:rsidR="00916C75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用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都会导致文化和政治上的严重后果（“</w:t>
      </w:r>
      <w:r w:rsidR="00916C75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器用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”是“容器/功能”</w:t>
      </w:r>
      <w:r w:rsidR="00916C75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作为不可分的概念，成对出现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）。帝国也被隐喻为“九鼎”或“九</w:t>
      </w:r>
      <w:r w:rsidR="00916C75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件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鼎</w:t>
      </w:r>
      <w:r w:rsidR="00916C75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器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”，象征着</w:t>
      </w:r>
      <w:r w:rsidR="00916C75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广义中国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的九个分区。毫不奇怪，在</w:t>
      </w:r>
      <w:r w:rsidR="00916C75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民国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时期，由金属，瓷器，陶器或其他经典材料制成的</w:t>
      </w:r>
      <w:r w:rsidR="00916C75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传统容器，</w:t>
      </w:r>
      <w:r w:rsidR="00AC116B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总体</w:t>
      </w:r>
      <w:r w:rsid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上</w:t>
      </w:r>
      <w:r w:rsidR="00AC116B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继续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暗示并保持了</w:t>
      </w:r>
      <w:r w:rsidR="00AC116B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在美学意义上，逐渐潜伏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但仍</w:t>
      </w:r>
      <w:r w:rsidR="00AC116B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强势存在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的中</w:t>
      </w:r>
      <w:r w:rsidR="00AC116B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华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传统</w:t>
      </w:r>
      <w:r w:rsidR="00AC116B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身份定位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 xml:space="preserve"> 。艾未未</w:t>
      </w:r>
      <w:r w:rsidR="00AC116B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所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使用的</w:t>
      </w:r>
      <w:r w:rsidR="00AC116B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汉瓮，不见修饰，粗糙古朴，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可能</w:t>
      </w:r>
      <w:r w:rsidR="00AC116B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正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是这种宏观身份的广义隐喻。但是，这</w:t>
      </w:r>
      <w:r w:rsidR="006756D0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一普遍性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也可能暗示</w:t>
      </w:r>
      <w:r w:rsidR="00AC116B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了同一古瓮在另一历史时期的迥异命运。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在</w:t>
      </w:r>
      <w:r w:rsidR="006756D0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那种语境下，古瓮不再是器用之精粹，</w:t>
      </w:r>
      <w:r w:rsidR="00D77164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家国</w:t>
      </w:r>
      <w:r w:rsidR="006756D0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之象征，相反，它们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通常被认为是封建主义落后文化的危险体现。</w:t>
      </w:r>
      <w:r w:rsidR="006756D0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回到作品本身，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不</w:t>
      </w:r>
      <w:r w:rsidR="00673212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论</w:t>
      </w:r>
      <w:r w:rsidR="006756D0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古瓮在符号学中代表何种意义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6756D0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艾未未手中的</w:t>
      </w:r>
      <w:r w:rsidR="00673212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那</w:t>
      </w:r>
      <w:r w:rsid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只可怜的容器，</w:t>
      </w:r>
      <w:r w:rsidR="00673212"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都在重力作用下，坠落并损毁了</w:t>
      </w:r>
      <w:r w:rsidRPr="00BA10C4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</w:t>
      </w:r>
      <w:r w:rsidR="00023C42" w:rsidRPr="0024166C">
        <w:rPr>
          <w:rFonts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</w:p>
    <w:p w14:paraId="5A3FA33D" w14:textId="3DA3EE89" w:rsidR="00BF5FE4" w:rsidRPr="00EC56EB" w:rsidRDefault="00D77164" w:rsidP="00EC56EB">
      <w:pPr>
        <w:pStyle w:val="Body"/>
        <w:rPr>
          <w:rFonts w:ascii="Songti SC" w:eastAsia="Songti SC" w:hAnsi="Songti SC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zh-CN"/>
        </w:rPr>
        <w:tab/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社会学家皮埃尔·布迪厄（Pierre Bourdieu）</w:t>
      </w:r>
      <w:r w:rsid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也许会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将被破坏的东西称为“象征性资本”，即特权，权威，和有关“真实”和“纯洁”的本雅明式“氛围”</w:t>
      </w:r>
      <w:r w:rsid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——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这有助于艺术家出售其产品。以艾未未的摔瓮为例，被摔的可能是合为一组的象征性资本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——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审美特权，政治权威，</w:t>
      </w:r>
      <w:r w:rsidR="00A65ED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和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指向“纯粹正品”的艺术光环。在制作类似三联画的照片时，艾未未</w:t>
      </w:r>
      <w:r w:rsidR="00A65ED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曾向媒体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承认第二张照片是使用不同但形状相同的</w:t>
      </w:r>
      <w:r w:rsidR="00A65ED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古瓮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拍摄的</w:t>
      </w:r>
      <w:r w:rsid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。这一信息</w:t>
      </w:r>
      <w:r w:rsidR="00A65ED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将摔瓮</w:t>
      </w:r>
      <w:r w:rsid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即刻</w:t>
      </w:r>
      <w:r w:rsidR="00A65ED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揭秘为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一</w:t>
      </w:r>
      <w:r w:rsidR="00A65ED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次非连续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的表演，而</w:t>
      </w:r>
      <w:r w:rsidR="00A65ED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非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该过程的实时</w:t>
      </w:r>
      <w:r w:rsidR="00A65ED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记录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。从根本上讲，</w:t>
      </w:r>
      <w:r w:rsidR="00A65ED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《</w:t>
      </w:r>
      <w:r w:rsidR="00A65EDC" w:rsidRPr="00EC56EB">
        <w:rPr>
          <w:rFonts w:ascii="Songti SC" w:eastAsia="Songti SC" w:hAnsi="Songti SC" w:cs="Times New Roman" w:hint="eastAsia"/>
          <w:color w:val="000000" w:themeColor="text1"/>
          <w:sz w:val="24"/>
          <w:szCs w:val="24"/>
          <w:lang w:val="en-US" w:eastAsia="zh-CN"/>
        </w:rPr>
        <w:t>摔碎一只汉代古</w:t>
      </w:r>
      <w:r w:rsidR="00A65EDC" w:rsidRPr="00EC56EB">
        <w:rPr>
          <w:rFonts w:ascii="Songti SC" w:eastAsia="Songti SC" w:hAnsi="Songti SC" w:cs="MS Gothic"/>
          <w:color w:val="000000" w:themeColor="text1"/>
          <w:sz w:val="24"/>
          <w:szCs w:val="24"/>
          <w:bdr w:val="none" w:sz="0" w:space="0" w:color="auto"/>
          <w:shd w:val="clear" w:color="auto" w:fill="FFFFFF"/>
          <w:lang w:eastAsia="zh-CN"/>
        </w:rPr>
        <w:t>瓮</w:t>
      </w:r>
      <w:r w:rsidR="00A65EDC" w:rsidRPr="00EC56EB">
        <w:rPr>
          <w:rFonts w:ascii="Songti SC" w:eastAsia="Songti SC" w:hAnsi="Songti SC" w:cs="MS Gothic" w:hint="eastAsia"/>
          <w:color w:val="000000" w:themeColor="text1"/>
          <w:sz w:val="24"/>
          <w:szCs w:val="24"/>
          <w:bdr w:val="none" w:sz="0" w:space="0" w:color="auto"/>
          <w:shd w:val="clear" w:color="auto" w:fill="FFFFFF"/>
          <w:lang w:eastAsia="zh-CN"/>
        </w:rPr>
        <w:t>》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若</w:t>
      </w:r>
      <w:r w:rsidR="00A65ED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算作破坏主义之作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对于观众来说，破坏的对象与发生，最多是远程不可知，或怀疑不可证（当然也没有追证的意义），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因为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古瓮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的真实性值得高度怀疑。在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东方的</w:t>
      </w:r>
      <w:r w:rsidR="00CD1772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文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物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鉴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赏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中，鉴定价值主要取决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于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鉴定对象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的年代和现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况。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若从西方</w:t>
      </w:r>
      <w:r w:rsid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艺术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鉴赏学出发，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第二个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古瓮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由于潜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在作为复制品的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事实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从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而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影响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了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复制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对象的</w:t>
      </w:r>
      <w:r w:rsidR="004A0ACC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原始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价值，那么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古瓮年代的不确定性，将使古瓮</w:t>
      </w:r>
      <w:r w:rsidR="00CD1772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（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作为破坏对象</w:t>
      </w:r>
      <w:r w:rsidR="00CD1772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）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的二元</w:t>
      </w:r>
      <w:r w:rsid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评价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陷入更深的疑虑</w:t>
      </w:r>
      <w:r w:rsidR="00CD1772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——艾未未摔的，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要么是零价的假货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要么是天价的真品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</w:t>
      </w:r>
      <w:r w:rsidR="00CD1772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但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问题仍然存在：如果被破坏的</w:t>
      </w:r>
      <w:r w:rsidR="00CD1772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文物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是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假货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破坏的行为是赝品，作为艺术家，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艾未未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是否仍</w:t>
      </w:r>
      <w:r w:rsidR="00CD1772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可谓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真正的破坏</w:t>
      </w:r>
      <w:r w:rsidR="00CD1772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家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 xml:space="preserve">？托宾·西伯斯（Tobin </w:t>
      </w:r>
      <w:proofErr w:type="spellStart"/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Siebers</w:t>
      </w:r>
      <w:proofErr w:type="spellEnd"/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）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在《残疾与艺术破坏主义》中，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也以“冒犯性图像”为例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提出了同样的问题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——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使用伪造品和复制品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会大大削弱艺术破坏主义所带来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的情感</w:t>
      </w:r>
      <w:r w:rsidR="00D372E3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冲击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</w:t>
      </w:r>
    </w:p>
    <w:p w14:paraId="4E8B3714" w14:textId="625608EB" w:rsidR="00023C42" w:rsidRPr="00EC56EB" w:rsidRDefault="00CD1772" w:rsidP="00EC56EB">
      <w:pPr>
        <w:pStyle w:val="Body"/>
        <w:rPr>
          <w:rFonts w:ascii="Songti SC" w:eastAsia="Songti SC" w:hAnsi="Songti SC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zh-CN"/>
        </w:rPr>
        <w:tab/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可以肯定的是，艾未未被公认为是艺术家而不是破坏家。 “破坏家”的定义始终强调“无意义/非理性的”破坏，而这个形容词使我们想起了一个潜在的“共识”，即如果破坏不是毫无意义/非理性的，则围绕破坏行为可能还有其他形式和论述</w:t>
      </w:r>
      <w:r w:rsid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——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怎样才算一场有理性/意义的破坏？是否存在有理性/意义的破坏行为可作为令人信服的反例？也许在艺术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lastRenderedPageBreak/>
        <w:t>性的破坏行为中，艺术家拥有“决定例外”的主权</w:t>
      </w:r>
      <w:r w:rsidR="00EC56EB" w:rsidRPr="00EC56EB">
        <w:rPr>
          <w:rStyle w:val="FootnoteReference"/>
          <w:rFonts w:ascii="Songti SC" w:eastAsia="Songti SC" w:hAnsi="Songti SC" w:cs="Times New Roman"/>
          <w:color w:val="auto"/>
          <w:sz w:val="24"/>
          <w:szCs w:val="24"/>
          <w:lang w:val="en-US"/>
        </w:rPr>
        <w:footnoteReference w:id="6"/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，即使这种例外是毫无意义/理性的破坏。显然，艾未未的这场行为中，表演的内容比古瓮的（不可轻言的）身份更引人震惊，而作为这场行为的结果之一，这项作品也仍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不失为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惠特尼（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The</w:t>
      </w:r>
      <w:r w:rsidR="00EF274A" w:rsidRPr="00EC56EB">
        <w:rPr>
          <w:rFonts w:ascii="Songti SC" w:eastAsia="Songti SC" w:hAnsi="Songti SC" w:cs="Times New Roman"/>
          <w:color w:val="auto"/>
          <w:sz w:val="24"/>
          <w:szCs w:val="24"/>
          <w:lang w:val="en-US" w:eastAsia="zh-CN"/>
        </w:rPr>
        <w:t xml:space="preserve"> 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Whitney）或旧金山现代美术馆（</w:t>
      </w:r>
      <w:proofErr w:type="spellStart"/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SFMoMA</w:t>
      </w:r>
      <w:proofErr w:type="spellEnd"/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）此类国际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收藏（展览）中心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的重要资产。通过破坏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古瓮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“氛围”/</w:t>
      </w:r>
      <w:r w:rsidR="00EF274A" w:rsidRPr="00EC56EB">
        <w:rPr>
          <w:rFonts w:ascii="Songti SC" w:eastAsia="Songti SC" w:hAnsi="Songti SC" w:cs="Times New Roman"/>
          <w:color w:val="auto"/>
          <w:sz w:val="24"/>
          <w:szCs w:val="24"/>
          <w:lang w:val="en-US" w:eastAsia="zh-CN"/>
        </w:rPr>
        <w:t>“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光环”（“aura”），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新的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“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光环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”</w:t>
      </w:r>
      <w:r w:rsidR="00EF274A" w:rsidRPr="00EC56EB">
        <w:rPr>
          <w:rFonts w:ascii="Songti SC" w:eastAsia="Songti SC" w:hAnsi="Songti SC" w:cs="Times New Roman"/>
          <w:color w:val="auto"/>
          <w:sz w:val="24"/>
          <w:szCs w:val="24"/>
          <w:lang w:val="en-US" w:eastAsia="zh-CN"/>
        </w:rPr>
        <w:t>/“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氛围“总在诞生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，即使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行为艺术如此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短暂，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又或此瓮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的真实性</w:t>
      </w:r>
      <w:r w:rsid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、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市场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价值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仍然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可疑。</w:t>
      </w:r>
      <w:r w:rsid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实际上，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以这种方式，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古瓮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的真实性变得无关紧要，但是艺术家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本身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“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光环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”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对于这种新的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借用（以瓮摔瓮）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和表现</w:t>
      </w:r>
      <w:r w:rsidR="00EF274A"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（摔瓮入画）却</w:t>
      </w:r>
      <w:r w:rsidRPr="00EC56EB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是必不可少的。</w:t>
      </w:r>
      <w:r w:rsidR="00972A71" w:rsidRPr="0024166C">
        <w:rPr>
          <w:rFonts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</w:p>
    <w:p w14:paraId="038EF31C" w14:textId="49823A77" w:rsidR="00EF274A" w:rsidRPr="00334C19" w:rsidRDefault="00EF274A" w:rsidP="00334C19">
      <w:pPr>
        <w:pStyle w:val="Body"/>
        <w:rPr>
          <w:rFonts w:ascii="Songti SC" w:eastAsia="Songti SC" w:hAnsi="Songti SC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zh-CN"/>
        </w:rPr>
        <w:tab/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在</w:t>
      </w:r>
      <w:r w:rsidR="00EC56EB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艺评家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本·勒纳（Ben Lerner）的《损害控制》中，勒纳通过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阐述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安迪·沃霍尔（Andy Warhol）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的两</w:t>
      </w:r>
      <w:r w:rsidR="00EC56EB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件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作品——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“被枪击的橙色梦露（Shot Orange Marilyn）”和“被枪击的红色梦露（Shot Red Marilyn）”</w:t>
      </w:r>
      <w:r w:rsidR="00EC56EB" w:rsidRPr="00334C19">
        <w:rPr>
          <w:rFonts w:ascii="Songti SC" w:eastAsia="Songti SC" w:hAnsi="Songti SC" w:cs="Times New Roman"/>
          <w:color w:val="auto"/>
          <w:sz w:val="24"/>
          <w:szCs w:val="24"/>
          <w:vertAlign w:val="superscript"/>
          <w:lang w:eastAsia="zh-CN"/>
        </w:rPr>
        <w:t xml:space="preserve"> </w:t>
      </w:r>
      <w:r w:rsidR="00EC56EB" w:rsidRPr="00334C19">
        <w:rPr>
          <w:rFonts w:ascii="Songti SC" w:eastAsia="Songti SC" w:hAnsi="Songti SC" w:cs="Times New Roman"/>
          <w:color w:val="auto"/>
          <w:sz w:val="24"/>
          <w:szCs w:val="24"/>
          <w:vertAlign w:val="superscript"/>
        </w:rPr>
        <w:footnoteReference w:id="7"/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并将</w:t>
      </w:r>
      <w:r w:rsidR="00EC56EB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同时在场的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安迪，而不是枪击画面的另一艺术家，定义为“更为强大的巫师”，</w:t>
      </w:r>
      <w:r w:rsidR="00EC56EB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意指其操控事实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EC56EB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翻云覆雨的强大能力，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从而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对艺术破坏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主义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提出了至关重要的论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断。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另一位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艺术家并没有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通过枪击梦露这一行为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一举成名，取代安迪的地位。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而安迪·沃霍尔（Andy Warhol）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在枪击过后，只是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给这幅画取了一个新的名字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（添加了一个形容词），便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将其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成功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变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为身价翻倍的艺术奇观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。 同样，可以想象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的是，在石器时代之后，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人类可能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每时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每秒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都会无意或有意，摔碎无数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有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名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或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无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名，低价或无价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的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瓮罐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和容器，但</w:t>
      </w:r>
      <w:r w:rsidR="005236E2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纵观东西方艺术史，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只有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艾未未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摔碎的那只古瓮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和</w:t>
      </w:r>
      <w:r w:rsidR="005236E2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少量</w:t>
      </w:r>
      <w:r w:rsidR="009459AC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类似的行为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表演</w:t>
      </w:r>
      <w:r w:rsidR="00334C19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，给观众及市场</w:t>
      </w:r>
      <w:r w:rsidR="005236E2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带来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了足够的震撼，</w:t>
      </w:r>
      <w:r w:rsidR="005236E2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骚乱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，唤醒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了</w:t>
      </w:r>
      <w:r w:rsidR="00334C19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一系列的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美学价值。</w:t>
      </w:r>
    </w:p>
    <w:p w14:paraId="39BA8F44" w14:textId="77A3E85F" w:rsidR="005236E2" w:rsidRPr="00334C19" w:rsidRDefault="005236E2" w:rsidP="00334C19">
      <w:pPr>
        <w:pStyle w:val="Body"/>
        <w:ind w:firstLine="720"/>
        <w:rPr>
          <w:rFonts w:ascii="Songti SC" w:eastAsia="Songti SC" w:hAnsi="Songti SC" w:cs="Times New Roman"/>
          <w:color w:val="auto"/>
          <w:sz w:val="24"/>
          <w:szCs w:val="24"/>
          <w:lang w:val="en-US" w:eastAsia="zh-CN"/>
        </w:rPr>
      </w:pP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就像沃霍尔一样，艾未未改写了</w:t>
      </w:r>
      <w:r w:rsidRPr="00334C19">
        <w:rPr>
          <w:rFonts w:ascii="Songti SC" w:eastAsia="Songti SC" w:hAnsi="Songti SC" w:cs="Times New Roman" w:hint="eastAsia"/>
          <w:color w:val="000000" w:themeColor="text1"/>
          <w:sz w:val="24"/>
          <w:szCs w:val="24"/>
          <w:lang w:val="en-US" w:eastAsia="zh-CN"/>
        </w:rPr>
        <w:t>“</w:t>
      </w:r>
      <w:r w:rsidRPr="00334C19">
        <w:rPr>
          <w:rFonts w:ascii="Songti SC" w:eastAsia="Songti SC" w:hAnsi="Songti SC" w:hint="eastAsia"/>
          <w:color w:val="000000" w:themeColor="text1"/>
          <w:sz w:val="24"/>
          <w:szCs w:val="24"/>
          <w:lang w:eastAsia="zh-CN"/>
        </w:rPr>
        <w:t>摔碎一</w:t>
      </w:r>
      <w:r w:rsidR="00334C19" w:rsidRPr="00334C19">
        <w:rPr>
          <w:rFonts w:ascii="Songti SC" w:eastAsia="Songti SC" w:hAnsi="Songti SC" w:hint="eastAsia"/>
          <w:color w:val="000000" w:themeColor="text1"/>
          <w:sz w:val="24"/>
          <w:szCs w:val="24"/>
          <w:lang w:eastAsia="zh-CN"/>
        </w:rPr>
        <w:t>只</w:t>
      </w:r>
      <w:r w:rsidRPr="00334C19">
        <w:rPr>
          <w:rFonts w:ascii="Songti SC" w:eastAsia="Songti SC" w:hAnsi="Songti SC" w:hint="eastAsia"/>
          <w:color w:val="000000" w:themeColor="text1"/>
          <w:sz w:val="24"/>
          <w:szCs w:val="24"/>
          <w:lang w:eastAsia="zh-CN"/>
        </w:rPr>
        <w:t>汉代古</w:t>
      </w:r>
      <w:r w:rsidRPr="00334C19">
        <w:rPr>
          <w:rFonts w:ascii="Songti SC" w:eastAsia="Songti SC" w:hAnsi="Songti SC" w:cs="MS Gothic"/>
          <w:color w:val="000000" w:themeColor="text1"/>
          <w:sz w:val="24"/>
          <w:szCs w:val="24"/>
          <w:bdr w:val="none" w:sz="0" w:space="0" w:color="auto"/>
          <w:shd w:val="clear" w:color="auto" w:fill="FFFFFF"/>
          <w:lang w:eastAsia="zh-CN"/>
        </w:rPr>
        <w:t>瓮</w:t>
      </w:r>
      <w:r w:rsidRPr="00334C19">
        <w:rPr>
          <w:rFonts w:ascii="Songti SC" w:eastAsia="Songti SC" w:hAnsi="Songti SC" w:cs="MS Gothic" w:hint="eastAsia"/>
          <w:color w:val="000000" w:themeColor="text1"/>
          <w:sz w:val="24"/>
          <w:szCs w:val="24"/>
          <w:bdr w:val="none" w:sz="0" w:space="0" w:color="auto"/>
          <w:shd w:val="clear" w:color="auto" w:fill="FFFFFF"/>
          <w:lang w:eastAsia="zh-CN"/>
        </w:rPr>
        <w:t>”</w:t>
      </w:r>
      <w:r w:rsidR="00334C19" w:rsidRPr="00334C19">
        <w:rPr>
          <w:rFonts w:ascii="Songti SC" w:eastAsia="Songti SC" w:hAnsi="Songti SC" w:cs="MS Gothic" w:hint="eastAsia"/>
          <w:color w:val="000000" w:themeColor="text1"/>
          <w:sz w:val="24"/>
          <w:szCs w:val="24"/>
          <w:bdr w:val="none" w:sz="0" w:space="0" w:color="auto"/>
          <w:shd w:val="clear" w:color="auto" w:fill="FFFFFF"/>
          <w:lang w:eastAsia="zh-CN"/>
        </w:rPr>
        <w:t>的全部事实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——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从头至尾，破坏主义的行为从未发生。 艾未未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作为新的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主权性角色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，镜头一转，便</w:t>
      </w:r>
      <w:r w:rsidR="00334C19"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使古瓮身份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从此消失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 xml:space="preserve">。 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其实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汉朝也好，古瓮也罢，它们都不免沦为历史的尘埃，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难逃集体性失忆的命运，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但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在目前，我们可见的是，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val="en-US" w:eastAsia="zh-CN"/>
        </w:rPr>
        <w:t>艾未未的行为作品，仍在两个半球连续畅销。</w:t>
      </w:r>
    </w:p>
    <w:p w14:paraId="00238306" w14:textId="10C312B3" w:rsidR="006D5922" w:rsidRPr="00334C19" w:rsidRDefault="005236E2" w:rsidP="00334C19">
      <w:pPr>
        <w:pStyle w:val="Body"/>
        <w:rPr>
          <w:rFonts w:ascii="Songti SC" w:eastAsia="Songti SC" w:hAnsi="Songti SC" w:cs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如果我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们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回到安塞姆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eastAsia="zh-CN"/>
        </w:rPr>
        <w:t>·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基弗（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eastAsia="zh-CN"/>
        </w:rPr>
        <w:t>Anselm Kiefer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）关于</w:t>
      </w:r>
      <w:r w:rsid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偶像破坏家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的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说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法，我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们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很可能会看到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艺术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家的偶像破坏和破坏主义行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为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之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间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的最大区</w:t>
      </w:r>
      <w:r w:rsidRPr="00334C19">
        <w:rPr>
          <w:rFonts w:ascii="Songti SC" w:eastAsia="Songti SC" w:hAnsi="Songti SC" w:cs="Yu Gothic" w:hint="eastAsia"/>
          <w:color w:val="auto"/>
          <w:sz w:val="24"/>
          <w:szCs w:val="24"/>
          <w:lang w:eastAsia="zh-CN"/>
        </w:rPr>
        <w:t>别</w:t>
      </w:r>
      <w:r w:rsidR="00334C19">
        <w:rPr>
          <w:rFonts w:ascii="Songti SC" w:eastAsia="Songti SC" w:hAnsi="Songti SC" w:cs="Times New Roman" w:hint="eastAsia"/>
          <w:color w:val="auto"/>
          <w:sz w:val="24"/>
          <w:szCs w:val="24"/>
          <w:lang w:eastAsia="zh-CN"/>
        </w:rPr>
        <w:t>——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大多数破坏主义行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为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都涉及</w:t>
      </w:r>
      <w:r w:rsidRPr="00334C19">
        <w:rPr>
          <w:rFonts w:ascii="Songti SC" w:eastAsia="Songti SC" w:hAnsi="Songti SC" w:cs="Microsoft JhengHei" w:hint="eastAsia"/>
          <w:color w:val="auto"/>
          <w:sz w:val="24"/>
          <w:szCs w:val="24"/>
          <w:lang w:eastAsia="zh-CN"/>
        </w:rPr>
        <w:t>对于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偶像</w:t>
      </w:r>
      <w:r w:rsidR="00E539E5"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（“icon”）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及其</w:t>
      </w:r>
      <w:r w:rsidRPr="00334C19">
        <w:rPr>
          <w:rFonts w:ascii="Songti SC" w:eastAsia="Songti SC" w:hAnsi="Songti SC" w:cs="Microsoft JhengHei" w:hint="eastAsia"/>
          <w:color w:val="auto"/>
          <w:sz w:val="24"/>
          <w:szCs w:val="24"/>
          <w:lang w:eastAsia="zh-CN"/>
        </w:rPr>
        <w:t>图示</w:t>
      </w:r>
      <w:r w:rsidR="00E539E5" w:rsidRPr="00334C19">
        <w:rPr>
          <w:rFonts w:ascii="Songti SC" w:eastAsia="Songti SC" w:hAnsi="Songti SC" w:cs="Microsoft JhengHei" w:hint="eastAsia"/>
          <w:color w:val="auto"/>
          <w:sz w:val="24"/>
          <w:szCs w:val="24"/>
          <w:lang w:eastAsia="zh-CN"/>
        </w:rPr>
        <w:t>（“</w:t>
      </w:r>
      <w:proofErr w:type="spellStart"/>
      <w:r w:rsidR="00E539E5" w:rsidRPr="00334C19">
        <w:rPr>
          <w:rFonts w:ascii="Songti SC" w:eastAsia="Songti SC" w:hAnsi="Songti SC" w:cs="Microsoft JhengHei" w:hint="eastAsia"/>
          <w:color w:val="auto"/>
          <w:sz w:val="24"/>
          <w:szCs w:val="24"/>
          <w:lang w:eastAsia="zh-CN"/>
        </w:rPr>
        <w:t>graphies</w:t>
      </w:r>
      <w:proofErr w:type="spellEnd"/>
      <w:r w:rsidR="00334C19">
        <w:rPr>
          <w:rFonts w:ascii="Songti SC" w:eastAsia="Songti SC" w:hAnsi="Songti SC" w:cs="Microsoft JhengHei" w:hint="eastAsia"/>
          <w:color w:val="auto"/>
          <w:sz w:val="24"/>
          <w:szCs w:val="24"/>
          <w:lang w:eastAsia="zh-CN"/>
        </w:rPr>
        <w:t>”</w:t>
      </w:r>
      <w:r w:rsidR="00E539E5" w:rsidRPr="00334C19">
        <w:rPr>
          <w:rFonts w:ascii="Songti SC" w:eastAsia="Songti SC" w:hAnsi="Songti SC" w:cs="Microsoft JhengHei" w:hint="eastAsia"/>
          <w:color w:val="auto"/>
          <w:sz w:val="24"/>
          <w:szCs w:val="24"/>
          <w:lang w:eastAsia="zh-CN"/>
        </w:rPr>
        <w:t>）</w:t>
      </w:r>
      <w:r w:rsidRPr="00334C19">
        <w:rPr>
          <w:rFonts w:ascii="Songti SC" w:eastAsia="Songti SC" w:hAnsi="Songti SC" w:cs="Microsoft JhengHei" w:hint="eastAsia"/>
          <w:color w:val="auto"/>
          <w:sz w:val="24"/>
          <w:szCs w:val="24"/>
          <w:lang w:eastAsia="zh-CN"/>
        </w:rPr>
        <w:t>的破坏，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或至少</w:t>
      </w:r>
      <w:r w:rsid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（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破坏</w:t>
      </w:r>
      <w:r w:rsid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）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代表它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们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的某些有力象征</w:t>
      </w:r>
      <w:r w:rsidR="00E539E5"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；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但著名的破坏</w:t>
      </w:r>
      <w:r w:rsidR="00E539E5"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主义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作品不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仅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破坏原始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图</w:t>
      </w:r>
      <w:r w:rsidR="00E539E5"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像（“icon”）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，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还</w:t>
      </w:r>
      <w:r w:rsidR="00E539E5"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会连带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创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造新</w:t>
      </w:r>
      <w:r w:rsidR="00E539E5"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的</w:t>
      </w:r>
      <w:r w:rsidR="00E539E5"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图像系统</w:t>
      </w:r>
      <w:r w:rsidR="00E539E5"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lastRenderedPageBreak/>
        <w:t>（icon-system）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。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eastAsia="zh-CN"/>
        </w:rPr>
        <w:t xml:space="preserve"> 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通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过</w:t>
      </w:r>
      <w:r w:rsid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“摔瓮”</w:t>
      </w:r>
      <w:r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辩证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法，艾未未</w:t>
      </w:r>
      <w:r w:rsid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以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他的</w:t>
      </w:r>
      <w:r w:rsid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艺术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形象代替了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eastAsia="zh-CN"/>
        </w:rPr>
        <w:t>“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古</w:t>
      </w:r>
      <w:r w:rsidRPr="00334C19">
        <w:rPr>
          <w:rFonts w:ascii="Songti SC" w:eastAsia="Songti SC" w:hAnsi="Songti SC" w:cs="Times New Roman" w:hint="eastAsia"/>
          <w:color w:val="auto"/>
          <w:sz w:val="24"/>
          <w:szCs w:val="24"/>
          <w:lang w:eastAsia="zh-CN"/>
        </w:rPr>
        <w:t>”</w:t>
      </w:r>
      <w:r w:rsidR="00E539E5"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瓮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的象征</w:t>
      </w:r>
      <w:r w:rsidR="00E539E5"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意义，以此作为</w:t>
      </w:r>
      <w:r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新的</w:t>
      </w:r>
      <w:r w:rsidR="00E539E5" w:rsidRPr="00334C19">
        <w:rPr>
          <w:rFonts w:ascii="Songti SC" w:eastAsia="Songti SC" w:hAnsi="Songti SC" w:cs="PingFang TC" w:hint="eastAsia"/>
          <w:color w:val="auto"/>
          <w:sz w:val="24"/>
          <w:szCs w:val="24"/>
          <w:lang w:eastAsia="zh-CN"/>
        </w:rPr>
        <w:t>图像产生</w:t>
      </w:r>
      <w:r w:rsidR="00E539E5" w:rsidRPr="00334C19">
        <w:rPr>
          <w:rFonts w:ascii="Songti SC" w:eastAsia="Songti SC" w:hAnsi="Songti SC" w:cs="MS Mincho" w:hint="eastAsia"/>
          <w:color w:val="auto"/>
          <w:sz w:val="24"/>
          <w:szCs w:val="24"/>
          <w:lang w:eastAsia="zh-CN"/>
        </w:rPr>
        <w:t>——</w:t>
      </w:r>
      <w:r w:rsidR="00E539E5" w:rsidRPr="00334C19">
        <w:rPr>
          <w:rFonts w:ascii="Songti SC" w:eastAsia="Songti SC" w:hAnsi="Songti SC" w:cs="Microsoft JhengHei" w:hint="eastAsia"/>
          <w:color w:val="auto"/>
          <w:sz w:val="24"/>
          <w:szCs w:val="24"/>
          <w:lang w:eastAsia="zh-CN"/>
        </w:rPr>
        <w:t>图像流转着，但终究留下的，是图像周围的神秘“光环”。</w:t>
      </w:r>
    </w:p>
    <w:p w14:paraId="2AB2CB2C" w14:textId="77777777" w:rsidR="00BF5FE4" w:rsidRPr="0024166C" w:rsidRDefault="003B1E5F">
      <w:pPr>
        <w:pStyle w:val="Body"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24166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</w:p>
    <w:p w14:paraId="28292789" w14:textId="77777777" w:rsidR="00BF5FE4" w:rsidRPr="0024166C" w:rsidRDefault="003B1E5F">
      <w:pPr>
        <w:pStyle w:val="Body"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24166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</w:p>
    <w:p w14:paraId="59A1A340" w14:textId="37287983" w:rsidR="0024166C" w:rsidRPr="00E539E5" w:rsidRDefault="003B1E5F">
      <w:pPr>
        <w:pStyle w:val="Body"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24166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</w:p>
    <w:p w14:paraId="40CC8A66" w14:textId="2864AB06" w:rsidR="00602941" w:rsidRPr="00334C19" w:rsidRDefault="00334C19" w:rsidP="00602941">
      <w:pPr>
        <w:pStyle w:val="Body"/>
        <w:spacing w:line="480" w:lineRule="auto"/>
        <w:rPr>
          <w:rFonts w:ascii="Songti SC" w:eastAsia="Songti SC" w:hAnsi="Songti SC" w:cs="Times New Roman"/>
          <w:b/>
          <w:bCs/>
          <w:color w:val="auto"/>
          <w:sz w:val="24"/>
          <w:szCs w:val="24"/>
          <w:lang w:val="en-US"/>
        </w:rPr>
      </w:pPr>
      <w:r w:rsidRPr="00334C19">
        <w:rPr>
          <w:rFonts w:ascii="Songti SC" w:eastAsia="Songti SC" w:hAnsi="Songti SC" w:cs="MS Mincho" w:hint="eastAsia"/>
          <w:b/>
          <w:bCs/>
          <w:color w:val="auto"/>
          <w:sz w:val="24"/>
          <w:szCs w:val="24"/>
          <w:lang w:val="en-US" w:eastAsia="zh-CN"/>
        </w:rPr>
        <w:t>索引</w:t>
      </w:r>
    </w:p>
    <w:p w14:paraId="1CECBE19" w14:textId="77777777" w:rsidR="00602941" w:rsidRPr="0024166C" w:rsidRDefault="00602941" w:rsidP="00602941">
      <w:pPr>
        <w:pStyle w:val="Body"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zh-CN"/>
        </w:rPr>
      </w:pPr>
    </w:p>
    <w:p w14:paraId="0D6153FE" w14:textId="41458F7C" w:rsidR="00602941" w:rsidRPr="0024166C" w:rsidRDefault="00602941" w:rsidP="00602941">
      <w:pPr>
        <w:pStyle w:val="Body"/>
        <w:spacing w:line="480" w:lineRule="auto"/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zh-CN"/>
        </w:rPr>
      </w:pPr>
      <w:r w:rsidRPr="0024166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Ove </w:t>
      </w:r>
      <w:proofErr w:type="spellStart"/>
      <w:r w:rsidRPr="0024166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Knausgaard</w:t>
      </w:r>
      <w:proofErr w:type="spellEnd"/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zh-CN"/>
        </w:rPr>
        <w:t xml:space="preserve">, 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val="en-US" w:eastAsia="zh-CN"/>
        </w:rPr>
        <w:t xml:space="preserve">Karl. 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zh-CN"/>
        </w:rPr>
        <w:t>“</w:t>
      </w:r>
      <w:r w:rsidRPr="0024166C">
        <w:rPr>
          <w:rFonts w:ascii="Times New Roman" w:hAnsi="Times New Roman" w:cs="Times New Roman"/>
          <w:color w:val="auto"/>
          <w:sz w:val="24"/>
          <w:szCs w:val="24"/>
          <w:lang w:val="en-US"/>
        </w:rPr>
        <w:t>Into the Black Forest With the Greatest Living Artist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val="en-US" w:eastAsia="zh-CN"/>
        </w:rPr>
        <w:t>.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zh-CN"/>
        </w:rPr>
        <w:t>” </w:t>
      </w:r>
      <w:r w:rsidRPr="0024166C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/>
          <w:shd w:val="clear" w:color="auto" w:fill="FFFFFF"/>
          <w:lang w:eastAsia="zh-CN"/>
        </w:rPr>
        <w:t>New York Times Magazine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val="en-US" w:eastAsia="zh-CN"/>
        </w:rPr>
        <w:t>.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zh-CN"/>
        </w:rPr>
        <w:t xml:space="preserve"> February 22, 2020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val="en-US" w:eastAsia="zh-CN"/>
        </w:rPr>
        <w:t>.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zh-CN"/>
        </w:rPr>
        <w:t xml:space="preserve"> </w:t>
      </w:r>
      <w:hyperlink r:id="rId6" w:history="1">
        <w:r w:rsidRPr="0024166C">
          <w:rPr>
            <w:rStyle w:val="Hyperlink"/>
            <w:rFonts w:ascii="Times New Roman" w:eastAsia="Times New Roman" w:hAnsi="Times New Roman" w:cs="Times New Roman"/>
            <w:color w:val="auto"/>
            <w:bdr w:val="none" w:sz="0" w:space="0" w:color="auto"/>
            <w:shd w:val="clear" w:color="auto" w:fill="FFFFFF"/>
            <w:lang w:eastAsia="zh-CN"/>
          </w:rPr>
          <w:t>https://www.nytimes.com/2020/02/12/magazine/anselm-kiefer-art.html</w:t>
        </w:r>
      </w:hyperlink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zh-CN"/>
        </w:rPr>
        <w:t>.</w:t>
      </w:r>
    </w:p>
    <w:p w14:paraId="249E700D" w14:textId="45D7E212" w:rsidR="00602941" w:rsidRPr="0024166C" w:rsidRDefault="00602941" w:rsidP="00602941">
      <w:pPr>
        <w:pStyle w:val="Body"/>
        <w:spacing w:line="480" w:lineRule="auto"/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</w:pPr>
      <w:proofErr w:type="spellStart"/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>Siebers</w:t>
      </w:r>
      <w:proofErr w:type="spellEnd"/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 xml:space="preserve">, 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 xml:space="preserve">Tobin. </w:t>
      </w:r>
      <w:r w:rsidRPr="0024166C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/>
          <w:lang w:eastAsia="zh-CN"/>
        </w:rPr>
        <w:t>Disability Aesthetics</w:t>
      </w:r>
      <w:r w:rsidRPr="0024166C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/>
          <w:lang w:val="en-US" w:eastAsia="zh-CN"/>
        </w:rPr>
        <w:t>.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 xml:space="preserve"> Ann Arbor: University of Michigan Press,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 xml:space="preserve"> 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>85.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 xml:space="preserve"> 2011.</w:t>
      </w:r>
    </w:p>
    <w:p w14:paraId="17508CFB" w14:textId="12B7A9C2" w:rsidR="00602941" w:rsidRPr="0024166C" w:rsidRDefault="00602941" w:rsidP="00602941">
      <w:pPr>
        <w:pStyle w:val="Body"/>
        <w:spacing w:line="480" w:lineRule="auto"/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</w:pPr>
      <w:proofErr w:type="spellStart"/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>Siebers</w:t>
      </w:r>
      <w:proofErr w:type="spellEnd"/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 xml:space="preserve">, 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 xml:space="preserve">Tobin. </w:t>
      </w:r>
      <w:r w:rsidRPr="0024166C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/>
          <w:lang w:eastAsia="zh-CN"/>
        </w:rPr>
        <w:t>Disability Aesthetics</w:t>
      </w:r>
      <w:r w:rsidRPr="0024166C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/>
          <w:lang w:val="en-US" w:eastAsia="zh-CN"/>
        </w:rPr>
        <w:t>.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 xml:space="preserve"> Ann Arbor: University of Michigan Press,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 xml:space="preserve"> 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>8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>3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>.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 xml:space="preserve"> 2011.</w:t>
      </w:r>
    </w:p>
    <w:p w14:paraId="2AF823C3" w14:textId="0C7C2DDA" w:rsidR="00602941" w:rsidRPr="0024166C" w:rsidRDefault="00602941" w:rsidP="00602941">
      <w:pPr>
        <w:pStyle w:val="Body"/>
        <w:spacing w:line="480" w:lineRule="auto"/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</w:pP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zh-CN"/>
        </w:rPr>
        <w:t>Benjamin, 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val="en-US" w:eastAsia="zh-CN"/>
        </w:rPr>
        <w:t xml:space="preserve">Walter. </w:t>
      </w:r>
      <w:r w:rsidRPr="0024166C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The Work of Art in the Age of Mechanical Reproduction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val="en-US" w:eastAsia="zh-CN"/>
        </w:rPr>
        <w:t>.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zh-CN"/>
        </w:rPr>
        <w:t xml:space="preserve"> 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>I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 xml:space="preserve">n: </w:t>
      </w:r>
      <w:r w:rsidRPr="0024166C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/>
          <w:lang w:eastAsia="zh-CN"/>
        </w:rPr>
        <w:t>Illuminations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>. E</w:t>
      </w:r>
      <w:proofErr w:type="spellStart"/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>dited</w:t>
      </w:r>
      <w:proofErr w:type="spellEnd"/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 xml:space="preserve"> by Hannah Arend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>t.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 xml:space="preserve"> 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>T</w:t>
      </w:r>
      <w:proofErr w:type="spellStart"/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>rans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>lated</w:t>
      </w:r>
      <w:proofErr w:type="spellEnd"/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 xml:space="preserve"> by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 xml:space="preserve"> Harry Zohn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val="en-US" w:eastAsia="zh-CN"/>
        </w:rPr>
        <w:t xml:space="preserve">. </w:t>
      </w:r>
      <w:r w:rsidRPr="0024166C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/>
          <w:lang w:eastAsia="zh-CN"/>
        </w:rPr>
        <w:t>New</w:t>
      </w:r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 xml:space="preserve"> York: </w:t>
      </w:r>
      <w:proofErr w:type="spellStart"/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>Schocken</w:t>
      </w:r>
      <w:proofErr w:type="spellEnd"/>
      <w:r w:rsidRPr="0024166C">
        <w:rPr>
          <w:rFonts w:ascii="Times New Roman" w:eastAsia="Times New Roman" w:hAnsi="Times New Roman" w:cs="Times New Roman"/>
          <w:color w:val="auto"/>
          <w:bdr w:val="none" w:sz="0" w:space="0" w:color="auto"/>
          <w:lang w:eastAsia="zh-CN"/>
        </w:rPr>
        <w:t xml:space="preserve"> Books, 1969.</w:t>
      </w:r>
    </w:p>
    <w:p w14:paraId="1BCC5C02" w14:textId="1B65B370" w:rsidR="00602941" w:rsidRPr="0024166C" w:rsidRDefault="00602941" w:rsidP="00602941">
      <w:pPr>
        <w:pStyle w:val="Body"/>
        <w:spacing w:line="480" w:lineRule="auto"/>
        <w:rPr>
          <w:rFonts w:ascii="Times New Roman" w:hAnsi="Times New Roman" w:cs="Times New Roman"/>
          <w:color w:val="auto"/>
          <w:lang w:val="en-US" w:eastAsia="zh-TW"/>
        </w:rPr>
      </w:pPr>
      <w:r w:rsidRPr="0024166C">
        <w:rPr>
          <w:rFonts w:ascii="Times New Roman" w:hAnsi="Times New Roman" w:cs="Times New Roman"/>
          <w:color w:val="auto"/>
          <w:lang w:val="en-US"/>
        </w:rPr>
        <w:t xml:space="preserve">Tzu, </w:t>
      </w:r>
      <w:proofErr w:type="spellStart"/>
      <w:r w:rsidRPr="0024166C">
        <w:rPr>
          <w:rFonts w:ascii="Times New Roman" w:hAnsi="Times New Roman" w:cs="Times New Roman"/>
          <w:color w:val="auto"/>
          <w:lang w:val="en-US"/>
        </w:rPr>
        <w:t>K’ung</w:t>
      </w:r>
      <w:proofErr w:type="spellEnd"/>
      <w:r w:rsidRPr="0024166C">
        <w:rPr>
          <w:rFonts w:ascii="Times New Roman" w:hAnsi="Times New Roman" w:cs="Times New Roman"/>
          <w:color w:val="auto"/>
          <w:lang w:val="en-US"/>
        </w:rPr>
        <w:t xml:space="preserve">-fu. </w:t>
      </w:r>
      <w:r w:rsidRPr="0024166C">
        <w:rPr>
          <w:rFonts w:ascii="Times New Roman" w:hAnsi="Times New Roman" w:cs="Times New Roman"/>
          <w:i/>
          <w:iCs/>
          <w:color w:val="auto"/>
          <w:lang w:val="en-US"/>
        </w:rPr>
        <w:t>The Li Chi or Book of Rites, Part I of II.</w:t>
      </w:r>
      <w:r w:rsidRPr="0024166C">
        <w:rPr>
          <w:rFonts w:ascii="Times New Roman" w:hAnsi="Times New Roman" w:cs="Times New Roman"/>
          <w:color w:val="auto"/>
          <w:lang w:val="en-US"/>
        </w:rPr>
        <w:t xml:space="preserve"> Translated by James </w:t>
      </w:r>
      <w:proofErr w:type="spellStart"/>
      <w:r w:rsidRPr="0024166C">
        <w:rPr>
          <w:rFonts w:ascii="Times New Roman" w:hAnsi="Times New Roman" w:cs="Times New Roman"/>
          <w:color w:val="auto"/>
          <w:lang w:val="en-US"/>
        </w:rPr>
        <w:t>Legge</w:t>
      </w:r>
      <w:proofErr w:type="spellEnd"/>
      <w:r w:rsidRPr="0024166C">
        <w:rPr>
          <w:rFonts w:ascii="Times New Roman" w:hAnsi="Times New Roman" w:cs="Times New Roman"/>
          <w:color w:val="auto"/>
          <w:lang w:val="en-US"/>
        </w:rPr>
        <w:t>. Forgotten Books, 2018</w:t>
      </w:r>
      <w:r w:rsidRPr="0024166C">
        <w:rPr>
          <w:rFonts w:ascii="Times New Roman" w:hAnsi="Times New Roman" w:cs="Times New Roman"/>
          <w:color w:val="auto"/>
          <w:lang w:val="en-US" w:eastAsia="zh-TW"/>
        </w:rPr>
        <w:t>.</w:t>
      </w:r>
    </w:p>
    <w:p w14:paraId="7E258667" w14:textId="480B1E97" w:rsidR="00602941" w:rsidRPr="0024166C" w:rsidRDefault="00602941" w:rsidP="00602941">
      <w:pPr>
        <w:spacing w:line="480" w:lineRule="auto"/>
        <w:rPr>
          <w:rFonts w:eastAsia="Times New Roman"/>
          <w:bdr w:val="none" w:sz="0" w:space="0" w:color="auto"/>
          <w:shd w:val="clear" w:color="auto" w:fill="FFFFFF"/>
          <w:lang w:eastAsia="zh-CN"/>
        </w:rPr>
      </w:pPr>
      <w:r w:rsidRPr="0024166C">
        <w:rPr>
          <w:rFonts w:eastAsia="Times New Roman"/>
          <w:bdr w:val="none" w:sz="0" w:space="0" w:color="auto"/>
          <w:shd w:val="clear" w:color="auto" w:fill="FFFFFF"/>
          <w:lang w:eastAsia="zh-CN"/>
        </w:rPr>
        <w:t xml:space="preserve">Lerner, Ben. “Damage Control,” Criticism. </w:t>
      </w:r>
      <w:r w:rsidRPr="0024166C">
        <w:rPr>
          <w:rFonts w:eastAsia="Times New Roman"/>
          <w:i/>
          <w:iCs/>
          <w:bdr w:val="none" w:sz="0" w:space="0" w:color="auto"/>
          <w:shd w:val="clear" w:color="auto" w:fill="FFFFFF"/>
          <w:lang w:eastAsia="zh-CN"/>
        </w:rPr>
        <w:t xml:space="preserve">Harper’s Magazine. </w:t>
      </w:r>
      <w:r w:rsidRPr="0024166C">
        <w:rPr>
          <w:rFonts w:eastAsia="Times New Roman"/>
          <w:bdr w:val="none" w:sz="0" w:space="0" w:color="auto"/>
          <w:shd w:val="clear" w:color="auto" w:fill="FFFFFF"/>
          <w:lang w:eastAsia="zh-CN"/>
        </w:rPr>
        <w:t>December 2013.</w:t>
      </w:r>
    </w:p>
    <w:p w14:paraId="5A162855" w14:textId="650CC70E" w:rsidR="00602941" w:rsidRPr="0024166C" w:rsidRDefault="00602941" w:rsidP="00602941">
      <w:pPr>
        <w:spacing w:line="480" w:lineRule="auto"/>
        <w:rPr>
          <w:rFonts w:eastAsia="Times New Roman"/>
          <w:bdr w:val="none" w:sz="0" w:space="0" w:color="auto"/>
          <w:lang w:eastAsia="zh-CN"/>
        </w:rPr>
      </w:pPr>
      <w:r w:rsidRPr="0024166C">
        <w:rPr>
          <w:rFonts w:eastAsia="Times New Roman"/>
          <w:bdr w:val="none" w:sz="0" w:space="0" w:color="auto"/>
          <w:shd w:val="clear" w:color="auto" w:fill="FFFFFF"/>
          <w:lang w:eastAsia="zh-CN"/>
        </w:rPr>
        <w:t xml:space="preserve">Schmitt, Carl. </w:t>
      </w:r>
      <w:r w:rsidRPr="0024166C">
        <w:rPr>
          <w:i/>
          <w:iCs/>
        </w:rPr>
        <w:t>“</w:t>
      </w:r>
      <w:r w:rsidRPr="0024166C">
        <w:t>Definition of Sovereignty</w:t>
      </w:r>
      <w:r w:rsidRPr="0024166C">
        <w:rPr>
          <w:rFonts w:eastAsia="Times New Roman"/>
          <w:bdr w:val="none" w:sz="0" w:space="0" w:color="auto"/>
          <w:shd w:val="clear" w:color="auto" w:fill="FFFFFF"/>
          <w:lang w:eastAsia="zh-CN"/>
        </w:rPr>
        <w:t xml:space="preserve">.” </w:t>
      </w:r>
      <w:r w:rsidRPr="0024166C">
        <w:rPr>
          <w:rFonts w:eastAsia="Times New Roman"/>
          <w:bdr w:val="none" w:sz="0" w:space="0" w:color="auto"/>
          <w:lang w:eastAsia="zh-CN"/>
        </w:rPr>
        <w:t>In:</w:t>
      </w:r>
      <w:r w:rsidRPr="0024166C">
        <w:rPr>
          <w:rFonts w:eastAsia="Times New Roman"/>
          <w:i/>
          <w:iCs/>
          <w:bdr w:val="none" w:sz="0" w:space="0" w:color="auto"/>
          <w:lang w:eastAsia="zh-CN"/>
        </w:rPr>
        <w:t xml:space="preserve"> Political Theology</w:t>
      </w:r>
      <w:r w:rsidRPr="0024166C">
        <w:rPr>
          <w:rFonts w:eastAsia="Times New Roman"/>
          <w:bdr w:val="none" w:sz="0" w:space="0" w:color="auto"/>
          <w:lang w:eastAsia="zh-CN"/>
        </w:rPr>
        <w:t xml:space="preserve">. Translated by George Schwab. </w:t>
      </w:r>
      <w:proofErr w:type="spellStart"/>
      <w:proofErr w:type="gramStart"/>
      <w:r w:rsidRPr="0024166C">
        <w:rPr>
          <w:rFonts w:eastAsia="Times New Roman"/>
          <w:bdr w:val="none" w:sz="0" w:space="0" w:color="auto"/>
          <w:lang w:eastAsia="zh-CN"/>
        </w:rPr>
        <w:t>Chicago:The</w:t>
      </w:r>
      <w:proofErr w:type="spellEnd"/>
      <w:proofErr w:type="gramEnd"/>
      <w:r w:rsidRPr="0024166C">
        <w:rPr>
          <w:rFonts w:eastAsia="Times New Roman"/>
          <w:bdr w:val="none" w:sz="0" w:space="0" w:color="auto"/>
          <w:lang w:eastAsia="zh-CN"/>
        </w:rPr>
        <w:t xml:space="preserve"> University of Chicago Press, 1985.</w:t>
      </w:r>
    </w:p>
    <w:p w14:paraId="6A435350" w14:textId="77777777" w:rsidR="00602941" w:rsidRPr="0024166C" w:rsidRDefault="00602941" w:rsidP="00602941">
      <w:pPr>
        <w:spacing w:line="480" w:lineRule="auto"/>
        <w:rPr>
          <w:rFonts w:eastAsia="Times New Roman"/>
          <w:bdr w:val="none" w:sz="0" w:space="0" w:color="auto"/>
          <w:shd w:val="clear" w:color="auto" w:fill="FFFFFF"/>
          <w:lang w:eastAsia="zh-CN"/>
        </w:rPr>
      </w:pPr>
      <w:r w:rsidRPr="0024166C">
        <w:rPr>
          <w:rFonts w:eastAsia="Times New Roman"/>
          <w:bdr w:val="none" w:sz="0" w:space="0" w:color="auto"/>
          <w:shd w:val="clear" w:color="auto" w:fill="FFFFFF"/>
          <w:lang w:eastAsia="zh-CN"/>
        </w:rPr>
        <w:t xml:space="preserve">Lerner, Ben. “Damage Control,” Criticism. </w:t>
      </w:r>
      <w:r w:rsidRPr="0024166C">
        <w:rPr>
          <w:rFonts w:eastAsia="Times New Roman"/>
          <w:i/>
          <w:iCs/>
          <w:bdr w:val="none" w:sz="0" w:space="0" w:color="auto"/>
          <w:shd w:val="clear" w:color="auto" w:fill="FFFFFF"/>
          <w:lang w:eastAsia="zh-CN"/>
        </w:rPr>
        <w:t xml:space="preserve">Harper’s Magazine. </w:t>
      </w:r>
      <w:r w:rsidRPr="0024166C">
        <w:rPr>
          <w:rFonts w:eastAsia="Times New Roman"/>
          <w:bdr w:val="none" w:sz="0" w:space="0" w:color="auto"/>
          <w:shd w:val="clear" w:color="auto" w:fill="FFFFFF"/>
          <w:lang w:eastAsia="zh-CN"/>
        </w:rPr>
        <w:t>December 2013.</w:t>
      </w:r>
    </w:p>
    <w:p w14:paraId="363D571A" w14:textId="60A67A41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6DAD0805" w14:textId="2219A40D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4CB7407E" w14:textId="2D31FD56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71D0A4BB" w14:textId="6C4C87A0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4EFC0254" w14:textId="34F23E70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4C521412" w14:textId="03D8D806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30E41DB8" w14:textId="3A54F6E2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68900A2D" w14:textId="78E34486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41C8C343" w14:textId="4DF7C179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34C61A85" w14:textId="2EF438CF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6A342487" w14:textId="6D6A4C3F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37D318D8" w14:textId="1C762BA5" w:rsidR="00602941" w:rsidRPr="00334C19" w:rsidRDefault="00334C19" w:rsidP="00602941">
      <w:pPr>
        <w:rPr>
          <w:rFonts w:ascii="Songti SC" w:eastAsia="Songti SC" w:hAnsi="Songti SC"/>
          <w:b/>
          <w:bCs/>
          <w:bdr w:val="none" w:sz="0" w:space="0" w:color="auto"/>
          <w:lang w:eastAsia="zh-CN"/>
        </w:rPr>
      </w:pPr>
      <w:r w:rsidRPr="00334C19">
        <w:rPr>
          <w:rFonts w:ascii="Songti SC" w:eastAsia="Songti SC" w:hAnsi="Songti SC" w:cs="PingFang TC" w:hint="eastAsia"/>
          <w:bdr w:val="none" w:sz="0" w:space="0" w:color="auto"/>
          <w:lang w:eastAsia="zh-CN"/>
        </w:rPr>
        <w:t>示意图</w:t>
      </w:r>
    </w:p>
    <w:p w14:paraId="61E31DEA" w14:textId="60FF956A" w:rsidR="00602941" w:rsidRPr="00334C19" w:rsidRDefault="00602941" w:rsidP="00602941">
      <w:pPr>
        <w:rPr>
          <w:rFonts w:ascii="Songti SC" w:eastAsia="Songti SC" w:hAnsi="Songti SC"/>
          <w:b/>
          <w:bCs/>
          <w:bdr w:val="none" w:sz="0" w:space="0" w:color="auto"/>
          <w:lang w:eastAsia="zh-CN"/>
        </w:rPr>
      </w:pPr>
    </w:p>
    <w:p w14:paraId="4813E391" w14:textId="1CD84D70" w:rsidR="00602941" w:rsidRPr="00334C19" w:rsidRDefault="00334C19" w:rsidP="00602941">
      <w:pPr>
        <w:rPr>
          <w:rFonts w:ascii="Songti SC" w:eastAsia="Songti SC" w:hAnsi="Songti SC"/>
          <w:bdr w:val="none" w:sz="0" w:space="0" w:color="auto"/>
          <w:lang w:eastAsia="zh-CN"/>
        </w:rPr>
      </w:pPr>
      <w:r w:rsidRPr="00334C19">
        <w:rPr>
          <w:rFonts w:ascii="Songti SC" w:eastAsia="Songti SC" w:hAnsi="Songti SC" w:cs="PingFang TC" w:hint="eastAsia"/>
          <w:bdr w:val="none" w:sz="0" w:space="0" w:color="auto"/>
          <w:lang w:eastAsia="zh-CN"/>
        </w:rPr>
        <w:t>图</w:t>
      </w:r>
      <w:r w:rsidR="00602941" w:rsidRPr="00334C19">
        <w:rPr>
          <w:rFonts w:ascii="Songti SC" w:eastAsia="Songti SC" w:hAnsi="Songti SC"/>
          <w:bdr w:val="none" w:sz="0" w:space="0" w:color="auto"/>
          <w:lang w:eastAsia="zh-CN"/>
        </w:rPr>
        <w:t>1:</w:t>
      </w:r>
    </w:p>
    <w:p w14:paraId="5ADD074C" w14:textId="77777777" w:rsidR="00602941" w:rsidRPr="0024166C" w:rsidRDefault="00602941" w:rsidP="00602941">
      <w:pPr>
        <w:rPr>
          <w:rFonts w:eastAsia="Times New Roman"/>
          <w:bdr w:val="none" w:sz="0" w:space="0" w:color="auto"/>
          <w:lang w:eastAsia="zh-TW"/>
        </w:rPr>
      </w:pPr>
    </w:p>
    <w:p w14:paraId="78789B4D" w14:textId="7A38C949" w:rsidR="00602941" w:rsidRPr="0024166C" w:rsidRDefault="00602941" w:rsidP="006029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zh-CN"/>
        </w:rPr>
      </w:pPr>
      <w:r w:rsidRPr="0024166C">
        <w:rPr>
          <w:rFonts w:eastAsia="Times New Roman"/>
          <w:bdr w:val="none" w:sz="0" w:space="0" w:color="auto"/>
          <w:lang w:eastAsia="zh-CN"/>
        </w:rPr>
        <w:fldChar w:fldCharType="begin"/>
      </w:r>
      <w:r w:rsidRPr="0024166C">
        <w:rPr>
          <w:rFonts w:eastAsia="Times New Roman"/>
          <w:bdr w:val="none" w:sz="0" w:space="0" w:color="auto"/>
          <w:lang w:eastAsia="zh-CN"/>
        </w:rPr>
        <w:instrText xml:space="preserve"> INCLUDEPICTURE "https://cms.guggenheim-bilbao.eus/uploads/2018/04/guggenheim-_AWeiwei_Dropping-a-Han-Dynasty-Urn-1995-1-2-3_MM-1.jpg" \* MERGEFORMATINET </w:instrText>
      </w:r>
      <w:r w:rsidRPr="0024166C">
        <w:rPr>
          <w:rFonts w:eastAsia="Times New Roman"/>
          <w:bdr w:val="none" w:sz="0" w:space="0" w:color="auto"/>
          <w:lang w:eastAsia="zh-CN"/>
        </w:rPr>
        <w:fldChar w:fldCharType="separate"/>
      </w:r>
      <w:r w:rsidRPr="0024166C">
        <w:rPr>
          <w:rFonts w:eastAsia="Times New Roman"/>
          <w:noProof/>
          <w:bdr w:val="none" w:sz="0" w:space="0" w:color="auto"/>
        </w:rPr>
        <w:drawing>
          <wp:inline distT="0" distB="0" distL="0" distR="0" wp14:anchorId="4D740F37" wp14:editId="2A96E76B">
            <wp:extent cx="5943600" cy="2134870"/>
            <wp:effectExtent l="0" t="0" r="0" b="0"/>
            <wp:docPr id="1" name="Picture 1" descr="A picture containing text, outdoor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, spo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66C">
        <w:rPr>
          <w:rFonts w:eastAsia="Times New Roman"/>
          <w:bdr w:val="none" w:sz="0" w:space="0" w:color="auto"/>
          <w:lang w:eastAsia="zh-CN"/>
        </w:rPr>
        <w:fldChar w:fldCharType="end"/>
      </w:r>
    </w:p>
    <w:p w14:paraId="4D39A843" w14:textId="37F8EAC2" w:rsidR="00602941" w:rsidRPr="0024166C" w:rsidRDefault="00602941" w:rsidP="00602941">
      <w:pPr>
        <w:rPr>
          <w:rFonts w:eastAsia="Times New Roman"/>
          <w:bdr w:val="none" w:sz="0" w:space="0" w:color="auto"/>
          <w:lang w:eastAsia="zh-TW"/>
        </w:rPr>
      </w:pPr>
    </w:p>
    <w:p w14:paraId="6352E04D" w14:textId="77777777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2724B4C4" w14:textId="77777777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1F1701F0" w14:textId="77777777" w:rsidR="00602941" w:rsidRPr="0024166C" w:rsidRDefault="00602941" w:rsidP="00602941">
      <w:pPr>
        <w:rPr>
          <w:rFonts w:eastAsia="Times New Roman"/>
          <w:bdr w:val="none" w:sz="0" w:space="0" w:color="auto"/>
          <w:lang w:eastAsia="zh-CN"/>
        </w:rPr>
      </w:pPr>
    </w:p>
    <w:p w14:paraId="27A19D8A" w14:textId="77777777" w:rsidR="00602941" w:rsidRPr="0024166C" w:rsidRDefault="00602941" w:rsidP="00602941">
      <w:pPr>
        <w:pStyle w:val="Body"/>
        <w:spacing w:line="480" w:lineRule="auto"/>
        <w:rPr>
          <w:color w:val="auto"/>
          <w:lang w:val="en-US" w:eastAsia="zh-TW"/>
        </w:rPr>
      </w:pPr>
    </w:p>
    <w:p w14:paraId="45596721" w14:textId="77777777" w:rsidR="00602941" w:rsidRPr="0024166C" w:rsidRDefault="00602941" w:rsidP="00602941">
      <w:pPr>
        <w:pStyle w:val="Body"/>
        <w:spacing w:line="480" w:lineRule="auto"/>
        <w:rPr>
          <w:rFonts w:eastAsia="Times New Roman"/>
          <w:color w:val="auto"/>
          <w:bdr w:val="none" w:sz="0" w:space="0" w:color="auto"/>
          <w:lang w:eastAsia="zh-TW"/>
        </w:rPr>
      </w:pPr>
    </w:p>
    <w:p w14:paraId="267D7F03" w14:textId="77777777" w:rsidR="00602941" w:rsidRPr="0024166C" w:rsidRDefault="00602941" w:rsidP="00602941">
      <w:pPr>
        <w:pStyle w:val="Body"/>
        <w:spacing w:line="480" w:lineRule="auto"/>
        <w:rPr>
          <w:rFonts w:eastAsia="Times New Roman"/>
          <w:color w:val="auto"/>
          <w:bdr w:val="none" w:sz="0" w:space="0" w:color="auto"/>
          <w:lang w:val="en-US" w:eastAsia="zh-CN"/>
        </w:rPr>
      </w:pPr>
    </w:p>
    <w:p w14:paraId="1AC3AC99" w14:textId="77777777" w:rsidR="00602941" w:rsidRPr="0024166C" w:rsidRDefault="00602941" w:rsidP="00602941">
      <w:pPr>
        <w:pStyle w:val="Body"/>
        <w:spacing w:line="480" w:lineRule="auto"/>
        <w:rPr>
          <w:rFonts w:eastAsia="Times New Roman"/>
          <w:color w:val="auto"/>
          <w:bdr w:val="none" w:sz="0" w:space="0" w:color="auto"/>
          <w:lang w:val="en-US" w:eastAsia="zh-CN"/>
        </w:rPr>
      </w:pPr>
    </w:p>
    <w:p w14:paraId="0608B691" w14:textId="77777777" w:rsidR="00602941" w:rsidRPr="0024166C" w:rsidRDefault="00602941">
      <w:pPr>
        <w:pStyle w:val="Body"/>
        <w:spacing w:line="480" w:lineRule="auto"/>
        <w:rPr>
          <w:rFonts w:eastAsia="Times New Roman"/>
          <w:color w:val="auto"/>
          <w:bdr w:val="none" w:sz="0" w:space="0" w:color="auto"/>
          <w:lang w:val="en-US" w:eastAsia="zh-CN"/>
        </w:rPr>
      </w:pPr>
    </w:p>
    <w:p w14:paraId="335F1362" w14:textId="77777777" w:rsidR="00602941" w:rsidRPr="0024166C" w:rsidRDefault="00602941">
      <w:pPr>
        <w:pStyle w:val="Body"/>
        <w:spacing w:line="480" w:lineRule="auto"/>
        <w:rPr>
          <w:rFonts w:ascii="Georgia" w:eastAsia="Times New Roman" w:hAnsi="Georgia"/>
          <w:color w:val="auto"/>
          <w:bdr w:val="none" w:sz="0" w:space="0" w:color="auto"/>
          <w:shd w:val="clear" w:color="auto" w:fill="FFFFFF"/>
          <w:lang w:val="en-US" w:eastAsia="zh-CN"/>
        </w:rPr>
      </w:pPr>
    </w:p>
    <w:p w14:paraId="65CD2C70" w14:textId="77777777" w:rsidR="00602941" w:rsidRPr="0024166C" w:rsidRDefault="00602941">
      <w:pPr>
        <w:pStyle w:val="Body"/>
        <w:spacing w:line="480" w:lineRule="auto"/>
        <w:rPr>
          <w:rFonts w:ascii="Georgia" w:eastAsia="Times New Roman" w:hAnsi="Georgia"/>
          <w:color w:val="auto"/>
          <w:bdr w:val="none" w:sz="0" w:space="0" w:color="auto"/>
          <w:shd w:val="clear" w:color="auto" w:fill="FFFFFF"/>
          <w:lang w:eastAsia="zh-CN"/>
        </w:rPr>
      </w:pPr>
    </w:p>
    <w:p w14:paraId="0D24E2FA" w14:textId="77777777" w:rsidR="00602941" w:rsidRPr="0024166C" w:rsidRDefault="00602941">
      <w:pPr>
        <w:pStyle w:val="Body"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sectPr w:rsidR="00602941" w:rsidRPr="0024166C"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61D8A" w14:textId="77777777" w:rsidR="00EA07B5" w:rsidRDefault="00EA07B5">
      <w:r>
        <w:separator/>
      </w:r>
    </w:p>
  </w:endnote>
  <w:endnote w:type="continuationSeparator" w:id="0">
    <w:p w14:paraId="1E85EDF0" w14:textId="77777777" w:rsidR="00EA07B5" w:rsidRDefault="00EA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ongti SC">
    <w:altName w:val="Songti S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TC">
    <w:altName w:val="PingFang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Georgia">
    <w:altName w:val="﷽﷽﷽﷽﷽﷽﷽﷽&#9;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197410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B0937B" w14:textId="04D7CD37" w:rsidR="00A65EDC" w:rsidRDefault="00A65EDC" w:rsidP="00A65E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3B9D38" w14:textId="77777777" w:rsidR="00A65EDC" w:rsidRDefault="00A65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890743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28DCFD" w14:textId="7ED08FE2" w:rsidR="00A65EDC" w:rsidRDefault="00A65EDC" w:rsidP="00A65E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A42FCE8" w14:textId="77777777" w:rsidR="00A65EDC" w:rsidRDefault="00A65E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0FB17" w14:textId="77777777" w:rsidR="00EA07B5" w:rsidRDefault="00EA07B5">
      <w:r>
        <w:separator/>
      </w:r>
    </w:p>
  </w:footnote>
  <w:footnote w:type="continuationSeparator" w:id="0">
    <w:p w14:paraId="3BD24B83" w14:textId="77777777" w:rsidR="00EA07B5" w:rsidRDefault="00EA07B5">
      <w:r>
        <w:continuationSeparator/>
      </w:r>
    </w:p>
  </w:footnote>
  <w:footnote w:type="continuationNotice" w:id="1">
    <w:p w14:paraId="73DEFFB4" w14:textId="77777777" w:rsidR="00EA07B5" w:rsidRDefault="00EA07B5"/>
  </w:footnote>
  <w:footnote w:id="2">
    <w:p w14:paraId="39357F5F" w14:textId="77777777" w:rsidR="00E539E5" w:rsidRPr="00602941" w:rsidRDefault="00E539E5" w:rsidP="00E539E5">
      <w:pPr>
        <w:rPr>
          <w:sz w:val="20"/>
          <w:szCs w:val="20"/>
        </w:rPr>
      </w:pPr>
      <w:r w:rsidRPr="00602941">
        <w:rPr>
          <w:sz w:val="20"/>
          <w:szCs w:val="20"/>
          <w:vertAlign w:val="superscript"/>
        </w:rPr>
        <w:footnoteRef/>
      </w:r>
      <w:r w:rsidRPr="00602941">
        <w:rPr>
          <w:sz w:val="20"/>
          <w:szCs w:val="20"/>
        </w:rPr>
        <w:t xml:space="preserve"> </w:t>
      </w:r>
      <w:r w:rsidRPr="00602941">
        <w:rPr>
          <w:rFonts w:eastAsia="Times New Roman"/>
          <w:sz w:val="20"/>
          <w:szCs w:val="20"/>
        </w:rPr>
        <w:t xml:space="preserve">Karl Ove </w:t>
      </w:r>
      <w:proofErr w:type="spellStart"/>
      <w:r w:rsidRPr="00602941">
        <w:rPr>
          <w:rFonts w:eastAsia="Times New Roman"/>
          <w:sz w:val="20"/>
          <w:szCs w:val="20"/>
        </w:rPr>
        <w:t>Knausgaard</w:t>
      </w:r>
      <w:proofErr w:type="spellEnd"/>
      <w:r w:rsidRPr="00602941">
        <w:rPr>
          <w:rFonts w:eastAsia="Times New Roman"/>
          <w:color w:val="333333"/>
          <w:sz w:val="20"/>
          <w:szCs w:val="20"/>
          <w:bdr w:val="none" w:sz="0" w:space="0" w:color="auto"/>
          <w:shd w:val="clear" w:color="auto" w:fill="FFFFFF"/>
          <w:lang w:eastAsia="zh-CN"/>
        </w:rPr>
        <w:t>, “</w:t>
      </w:r>
      <w:r w:rsidRPr="00602941">
        <w:rPr>
          <w:sz w:val="20"/>
          <w:szCs w:val="20"/>
        </w:rPr>
        <w:t xml:space="preserve">Into the Black Forest </w:t>
      </w:r>
      <w:proofErr w:type="gramStart"/>
      <w:r w:rsidRPr="00602941">
        <w:rPr>
          <w:sz w:val="20"/>
          <w:szCs w:val="20"/>
        </w:rPr>
        <w:t>With</w:t>
      </w:r>
      <w:proofErr w:type="gramEnd"/>
      <w:r w:rsidRPr="00602941">
        <w:rPr>
          <w:sz w:val="20"/>
          <w:szCs w:val="20"/>
        </w:rPr>
        <w:t xml:space="preserve"> the Greatest Living Artist</w:t>
      </w:r>
      <w:r w:rsidRPr="00602941">
        <w:rPr>
          <w:rFonts w:eastAsia="Times New Roman"/>
          <w:color w:val="333333"/>
          <w:sz w:val="20"/>
          <w:szCs w:val="20"/>
          <w:bdr w:val="none" w:sz="0" w:space="0" w:color="auto"/>
          <w:shd w:val="clear" w:color="auto" w:fill="FFFFFF"/>
          <w:lang w:eastAsia="zh-CN"/>
        </w:rPr>
        <w:t>,” </w:t>
      </w:r>
      <w:r w:rsidRPr="00602941">
        <w:rPr>
          <w:rFonts w:eastAsia="Times New Roman"/>
          <w:i/>
          <w:iCs/>
          <w:color w:val="333333"/>
          <w:sz w:val="20"/>
          <w:szCs w:val="20"/>
          <w:bdr w:val="none" w:sz="0" w:space="0" w:color="auto"/>
          <w:shd w:val="clear" w:color="auto" w:fill="FFFFFF"/>
          <w:lang w:eastAsia="zh-CN"/>
        </w:rPr>
        <w:t>New York Times Magazine</w:t>
      </w:r>
      <w:r w:rsidRPr="00602941">
        <w:rPr>
          <w:rFonts w:eastAsia="Times New Roman"/>
          <w:color w:val="333333"/>
          <w:sz w:val="20"/>
          <w:szCs w:val="20"/>
          <w:bdr w:val="none" w:sz="0" w:space="0" w:color="auto"/>
          <w:shd w:val="clear" w:color="auto" w:fill="FFFFFF"/>
          <w:lang w:eastAsia="zh-CN"/>
        </w:rPr>
        <w:t>, February 22, 2020, https://www.nytimes.com/2020/02/12/magazine/anselm-kiefer-art.html.</w:t>
      </w:r>
    </w:p>
  </w:footnote>
  <w:footnote w:id="3">
    <w:p w14:paraId="3A9DC12A" w14:textId="77777777" w:rsidR="0012658D" w:rsidRPr="00602941" w:rsidRDefault="0012658D" w:rsidP="0012658D">
      <w:pPr>
        <w:rPr>
          <w:rFonts w:eastAsia="Times New Roman"/>
          <w:sz w:val="20"/>
          <w:szCs w:val="20"/>
          <w:bdr w:val="none" w:sz="0" w:space="0" w:color="auto"/>
          <w:lang w:eastAsia="zh-CN"/>
        </w:rPr>
      </w:pPr>
      <w:r w:rsidRPr="00602941">
        <w:rPr>
          <w:sz w:val="20"/>
          <w:szCs w:val="20"/>
          <w:vertAlign w:val="superscript"/>
        </w:rPr>
        <w:footnoteRef/>
      </w:r>
      <w:r w:rsidRPr="00602941">
        <w:rPr>
          <w:rFonts w:cs="Arial Unicode MS"/>
          <w:sz w:val="20"/>
          <w:szCs w:val="20"/>
        </w:rPr>
        <w:t xml:space="preserve"> </w:t>
      </w:r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 xml:space="preserve">Tobin </w:t>
      </w:r>
      <w:proofErr w:type="spellStart"/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>Siebers</w:t>
      </w:r>
      <w:proofErr w:type="spellEnd"/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 xml:space="preserve">, </w:t>
      </w:r>
      <w:r w:rsidRPr="00602941">
        <w:rPr>
          <w:rFonts w:eastAsia="Times New Roman"/>
          <w:i/>
          <w:iCs/>
          <w:sz w:val="20"/>
          <w:szCs w:val="20"/>
          <w:bdr w:val="none" w:sz="0" w:space="0" w:color="auto"/>
          <w:lang w:eastAsia="zh-CN"/>
        </w:rPr>
        <w:t>Disability Aesthetics</w:t>
      </w:r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 xml:space="preserve"> (Ann Arbor: University of Michigan Press, 2011), 85.</w:t>
      </w:r>
    </w:p>
    <w:p w14:paraId="5108410C" w14:textId="77777777" w:rsidR="0012658D" w:rsidRDefault="0012658D" w:rsidP="0012658D">
      <w:pPr>
        <w:pStyle w:val="Footnote"/>
      </w:pPr>
    </w:p>
  </w:footnote>
  <w:footnote w:id="4">
    <w:p w14:paraId="1DC75EC0" w14:textId="77777777" w:rsidR="00DE2B20" w:rsidRPr="00602941" w:rsidRDefault="00DE2B20" w:rsidP="00DE2B20">
      <w:pPr>
        <w:rPr>
          <w:rFonts w:eastAsia="Times New Roman"/>
          <w:sz w:val="20"/>
          <w:szCs w:val="20"/>
          <w:bdr w:val="none" w:sz="0" w:space="0" w:color="auto"/>
          <w:lang w:eastAsia="zh-CN"/>
        </w:rPr>
      </w:pPr>
      <w:r w:rsidRPr="00602941">
        <w:rPr>
          <w:sz w:val="20"/>
          <w:szCs w:val="20"/>
          <w:vertAlign w:val="superscript"/>
        </w:rPr>
        <w:footnoteRef/>
      </w:r>
      <w:r w:rsidRPr="00602941">
        <w:rPr>
          <w:sz w:val="20"/>
          <w:szCs w:val="20"/>
        </w:rPr>
        <w:t xml:space="preserve"> </w:t>
      </w:r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 xml:space="preserve">Tobin </w:t>
      </w:r>
      <w:proofErr w:type="spellStart"/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>Siebers</w:t>
      </w:r>
      <w:proofErr w:type="spellEnd"/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 xml:space="preserve">, </w:t>
      </w:r>
      <w:r w:rsidRPr="00602941">
        <w:rPr>
          <w:rFonts w:eastAsia="Times New Roman"/>
          <w:i/>
          <w:iCs/>
          <w:sz w:val="20"/>
          <w:szCs w:val="20"/>
          <w:bdr w:val="none" w:sz="0" w:space="0" w:color="auto"/>
          <w:lang w:eastAsia="zh-CN"/>
        </w:rPr>
        <w:t>Disability Aesthetics</w:t>
      </w:r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 xml:space="preserve"> (Ann Arbor: University of Michigan Press, 2011), 83.</w:t>
      </w:r>
    </w:p>
  </w:footnote>
  <w:footnote w:id="5">
    <w:p w14:paraId="682A3524" w14:textId="77777777" w:rsidR="00BA10C4" w:rsidRPr="00602941" w:rsidRDefault="00BA10C4" w:rsidP="00BA10C4">
      <w:pPr>
        <w:pStyle w:val="Footnote"/>
        <w:rPr>
          <w:rFonts w:ascii="Times New Roman" w:hAnsi="Times New Roman" w:cs="Times New Roman"/>
          <w:sz w:val="20"/>
          <w:szCs w:val="20"/>
          <w:lang w:val="en-US"/>
        </w:rPr>
      </w:pPr>
      <w:r w:rsidRPr="0060294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0294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602941">
        <w:rPr>
          <w:rFonts w:ascii="Times New Roman" w:eastAsia="Arial Unicode MS" w:hAnsi="Times New Roman" w:cs="Times New Roman"/>
          <w:sz w:val="20"/>
          <w:szCs w:val="20"/>
          <w:lang w:val="en-US"/>
        </w:rPr>
        <w:t>K’ung</w:t>
      </w:r>
      <w:proofErr w:type="spellEnd"/>
      <w:r w:rsidRPr="00602941"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-fu Tzu, The Li Chi or Book of Rites, Part I of II, trans. James </w:t>
      </w:r>
      <w:proofErr w:type="spellStart"/>
      <w:r w:rsidRPr="00602941">
        <w:rPr>
          <w:rFonts w:ascii="Times New Roman" w:eastAsia="Arial Unicode MS" w:hAnsi="Times New Roman" w:cs="Times New Roman"/>
          <w:sz w:val="20"/>
          <w:szCs w:val="20"/>
          <w:lang w:val="en-US"/>
        </w:rPr>
        <w:t>Legge</w:t>
      </w:r>
      <w:proofErr w:type="spellEnd"/>
      <w:r w:rsidRPr="00602941"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 (Forgotten Books, 2018), 214.</w:t>
      </w:r>
    </w:p>
  </w:footnote>
  <w:footnote w:id="6">
    <w:p w14:paraId="534ACABD" w14:textId="77777777" w:rsidR="00EC56EB" w:rsidRPr="00602941" w:rsidRDefault="00EC56EB" w:rsidP="00EC56EB">
      <w:pPr>
        <w:rPr>
          <w:rFonts w:eastAsia="Times New Roman"/>
          <w:sz w:val="20"/>
          <w:szCs w:val="20"/>
          <w:bdr w:val="none" w:sz="0" w:space="0" w:color="auto"/>
          <w:lang w:eastAsia="zh-CN"/>
        </w:rPr>
      </w:pPr>
      <w:r w:rsidRPr="00602941">
        <w:rPr>
          <w:rStyle w:val="FootnoteReference"/>
          <w:sz w:val="20"/>
          <w:szCs w:val="20"/>
        </w:rPr>
        <w:footnoteRef/>
      </w:r>
      <w:r w:rsidRPr="00602941">
        <w:rPr>
          <w:sz w:val="20"/>
          <w:szCs w:val="20"/>
        </w:rPr>
        <w:t xml:space="preserve"> </w:t>
      </w:r>
      <w:r w:rsidRPr="00602941">
        <w:rPr>
          <w:rFonts w:eastAsia="Times New Roman"/>
          <w:color w:val="333333"/>
          <w:sz w:val="20"/>
          <w:szCs w:val="20"/>
          <w:bdr w:val="none" w:sz="0" w:space="0" w:color="auto"/>
          <w:shd w:val="clear" w:color="auto" w:fill="FFFFFF"/>
          <w:lang w:eastAsia="zh-CN"/>
        </w:rPr>
        <w:t>Carl Schmitt, </w:t>
      </w:r>
      <w:r w:rsidRPr="00602941">
        <w:rPr>
          <w:i/>
          <w:iCs/>
          <w:sz w:val="20"/>
          <w:szCs w:val="20"/>
        </w:rPr>
        <w:t>“</w:t>
      </w:r>
      <w:r w:rsidRPr="00602941">
        <w:rPr>
          <w:sz w:val="20"/>
          <w:szCs w:val="20"/>
        </w:rPr>
        <w:t>Definition of Sovereignty</w:t>
      </w:r>
      <w:r w:rsidRPr="00602941">
        <w:rPr>
          <w:rFonts w:eastAsia="Times New Roman"/>
          <w:color w:val="333333"/>
          <w:sz w:val="20"/>
          <w:szCs w:val="20"/>
          <w:bdr w:val="none" w:sz="0" w:space="0" w:color="auto"/>
          <w:shd w:val="clear" w:color="auto" w:fill="FFFFFF"/>
          <w:lang w:eastAsia="zh-CN"/>
        </w:rPr>
        <w:t xml:space="preserve">,” </w:t>
      </w:r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>in:</w:t>
      </w:r>
      <w:r w:rsidRPr="00602941">
        <w:rPr>
          <w:rFonts w:eastAsia="Times New Roman"/>
          <w:i/>
          <w:iCs/>
          <w:sz w:val="20"/>
          <w:szCs w:val="20"/>
          <w:bdr w:val="none" w:sz="0" w:space="0" w:color="auto"/>
          <w:lang w:eastAsia="zh-CN"/>
        </w:rPr>
        <w:t xml:space="preserve"> Political Theology</w:t>
      </w:r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>, trans. George Schwab (</w:t>
      </w:r>
      <w:proofErr w:type="spellStart"/>
      <w:proofErr w:type="gramStart"/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>Chicago:The</w:t>
      </w:r>
      <w:proofErr w:type="spellEnd"/>
      <w:proofErr w:type="gramEnd"/>
      <w:r w:rsidRPr="00602941">
        <w:rPr>
          <w:rFonts w:eastAsia="Times New Roman"/>
          <w:sz w:val="20"/>
          <w:szCs w:val="20"/>
          <w:bdr w:val="none" w:sz="0" w:space="0" w:color="auto"/>
          <w:lang w:eastAsia="zh-CN"/>
        </w:rPr>
        <w:t xml:space="preserve"> University of Chicago Press, 1985), 36.</w:t>
      </w:r>
    </w:p>
    <w:p w14:paraId="77509850" w14:textId="77777777" w:rsidR="00EC56EB" w:rsidRPr="00602941" w:rsidRDefault="00EC56EB" w:rsidP="00EC56EB">
      <w:pPr>
        <w:pStyle w:val="FootnoteText"/>
      </w:pPr>
    </w:p>
  </w:footnote>
  <w:footnote w:id="7">
    <w:p w14:paraId="3D1E3026" w14:textId="77777777" w:rsidR="00EC56EB" w:rsidRPr="00602941" w:rsidRDefault="00EC56EB" w:rsidP="00EC56EB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60294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0294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60294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/>
          <w:shd w:val="clear" w:color="auto" w:fill="FFFFFF"/>
          <w:lang w:val="en-US" w:eastAsia="zh-CN"/>
        </w:rPr>
        <w:t xml:space="preserve">Ben Lerner, “Damage Control,” Criticism, </w:t>
      </w:r>
      <w:r w:rsidRPr="0060294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/>
          <w:shd w:val="clear" w:color="auto" w:fill="FFFFFF"/>
          <w:lang w:val="en-US" w:eastAsia="zh-CN"/>
        </w:rPr>
        <w:t xml:space="preserve">Harper’s Magazine, </w:t>
      </w:r>
      <w:r w:rsidRPr="0060294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/>
          <w:shd w:val="clear" w:color="auto" w:fill="FFFFFF"/>
          <w:lang w:val="en-US" w:eastAsia="zh-CN"/>
        </w:rPr>
        <w:t>December 2013</w:t>
      </w:r>
      <w:r w:rsidRPr="0060294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/>
          <w:shd w:val="clear" w:color="auto" w:fill="FFFFFF"/>
          <w:lang w:eastAsia="zh-CN"/>
        </w:rPr>
        <w:t>, 4</w:t>
      </w:r>
      <w:r w:rsidRPr="0060294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/>
          <w:shd w:val="clear" w:color="auto" w:fill="FFFFFF"/>
          <w:lang w:val="en-US" w:eastAsia="zh-CN"/>
        </w:rPr>
        <w:t>8</w:t>
      </w:r>
      <w:r w:rsidRPr="0060294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/>
          <w:shd w:val="clear" w:color="auto" w:fill="FFFFFF"/>
          <w:lang w:eastAsia="zh-C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E4"/>
    <w:rsid w:val="00023C42"/>
    <w:rsid w:val="000522F0"/>
    <w:rsid w:val="000A3DB3"/>
    <w:rsid w:val="0012658D"/>
    <w:rsid w:val="001B7F93"/>
    <w:rsid w:val="001E179B"/>
    <w:rsid w:val="00206E49"/>
    <w:rsid w:val="0024166C"/>
    <w:rsid w:val="002744D4"/>
    <w:rsid w:val="0028636B"/>
    <w:rsid w:val="002D2B87"/>
    <w:rsid w:val="002E59D3"/>
    <w:rsid w:val="0032528A"/>
    <w:rsid w:val="00334C19"/>
    <w:rsid w:val="003805E9"/>
    <w:rsid w:val="003B1E5F"/>
    <w:rsid w:val="0040079E"/>
    <w:rsid w:val="00466E46"/>
    <w:rsid w:val="004A0ACC"/>
    <w:rsid w:val="005061CE"/>
    <w:rsid w:val="005236E2"/>
    <w:rsid w:val="005C327B"/>
    <w:rsid w:val="005D072E"/>
    <w:rsid w:val="005D307D"/>
    <w:rsid w:val="00602941"/>
    <w:rsid w:val="00673212"/>
    <w:rsid w:val="006756D0"/>
    <w:rsid w:val="006D5922"/>
    <w:rsid w:val="0074518D"/>
    <w:rsid w:val="007A64CD"/>
    <w:rsid w:val="007B391D"/>
    <w:rsid w:val="008137EE"/>
    <w:rsid w:val="008253B0"/>
    <w:rsid w:val="00916C75"/>
    <w:rsid w:val="009459AC"/>
    <w:rsid w:val="00972A71"/>
    <w:rsid w:val="009D3BFC"/>
    <w:rsid w:val="00A104A8"/>
    <w:rsid w:val="00A50F39"/>
    <w:rsid w:val="00A65EDC"/>
    <w:rsid w:val="00A8207D"/>
    <w:rsid w:val="00AC116B"/>
    <w:rsid w:val="00B178E1"/>
    <w:rsid w:val="00B76EA5"/>
    <w:rsid w:val="00BA10C4"/>
    <w:rsid w:val="00BF5FE4"/>
    <w:rsid w:val="00C220DF"/>
    <w:rsid w:val="00C723E5"/>
    <w:rsid w:val="00CD1772"/>
    <w:rsid w:val="00D3584C"/>
    <w:rsid w:val="00D372E3"/>
    <w:rsid w:val="00D6066F"/>
    <w:rsid w:val="00D77164"/>
    <w:rsid w:val="00DD2024"/>
    <w:rsid w:val="00DE2B20"/>
    <w:rsid w:val="00DF6242"/>
    <w:rsid w:val="00E539E5"/>
    <w:rsid w:val="00E96B12"/>
    <w:rsid w:val="00EA07B5"/>
    <w:rsid w:val="00EB1ABA"/>
    <w:rsid w:val="00EC56EB"/>
    <w:rsid w:val="00EE064A"/>
    <w:rsid w:val="00EF274A"/>
    <w:rsid w:val="00F372A7"/>
    <w:rsid w:val="00F94F71"/>
    <w:rsid w:val="00FA24B0"/>
    <w:rsid w:val="00FE309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EEC7D"/>
  <w15:docId w15:val="{E73C6993-CF5A-BE42-8559-CDB13F96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x-non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0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07D"/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8207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A3DB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9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2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94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94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137EE"/>
  </w:style>
  <w:style w:type="paragraph" w:styleId="BalloonText">
    <w:name w:val="Balloon Text"/>
    <w:basedOn w:val="Normal"/>
    <w:link w:val="BalloonTextChar"/>
    <w:uiPriority w:val="99"/>
    <w:semiHidden/>
    <w:unhideWhenUsed/>
    <w:rsid w:val="006D59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22"/>
    <w:rPr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9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922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9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922"/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ytimes.com/2020/02/12/magazine/anselm-kiefer-art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Fangyuan Chen</cp:lastModifiedBy>
  <cp:revision>12</cp:revision>
  <dcterms:created xsi:type="dcterms:W3CDTF">2020-12-16T12:46:00Z</dcterms:created>
  <dcterms:modified xsi:type="dcterms:W3CDTF">2021-04-08T05:07:00Z</dcterms:modified>
</cp:coreProperties>
</file>