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rPr>
      </w:pPr>
      <w:r>
        <w:rPr>
          <w:b/>
          <w:bCs/>
        </w:rPr>
        <w:t>Overview and Results of Investigative Research Regarding U.S. Trustees</w:t>
      </w:r>
    </w:p>
    <w:p>
      <w:pPr>
        <w:pStyle w:val="Normal"/>
        <w:bidi w:val="0"/>
        <w:jc w:val="center"/>
        <w:rPr>
          <w:b/>
          <w:b/>
          <w:bCs/>
        </w:rPr>
      </w:pPr>
      <w:r>
        <w:rPr>
          <w:b/>
          <w:bCs/>
        </w:rPr>
      </w:r>
    </w:p>
    <w:p>
      <w:pPr>
        <w:pStyle w:val="Normal"/>
        <w:bidi w:val="0"/>
        <w:jc w:val="center"/>
        <w:rPr>
          <w:b/>
          <w:b/>
          <w:bCs/>
        </w:rPr>
      </w:pPr>
      <w:r>
        <w:rPr>
          <w:b/>
          <w:bCs/>
        </w:rPr>
        <w:t>By: Dustin Bergman</w:t>
      </w:r>
    </w:p>
    <w:p>
      <w:pPr>
        <w:pStyle w:val="Normal"/>
        <w:bidi w:val="0"/>
        <w:jc w:val="center"/>
        <w:rPr/>
      </w:pPr>
      <w:r>
        <w:rPr/>
      </w:r>
    </w:p>
    <w:p>
      <w:pPr>
        <w:pStyle w:val="Normal"/>
        <w:bidi w:val="0"/>
        <w:jc w:val="left"/>
        <w:rPr/>
      </w:pPr>
      <w:r>
        <w:rPr/>
        <w:t xml:space="preserve">Disclaimer/Disclosure: The following are the results of my research and investigative digging (“deep dive”) into the “source of authority” for the FBI and all similar “Alphabet Agencies.” It is presented for further research, verification, and possible action by The Federation and State Assemblies. </w:t>
      </w:r>
    </w:p>
    <w:p>
      <w:pPr>
        <w:pStyle w:val="Normal"/>
        <w:bidi w:val="0"/>
        <w:jc w:val="left"/>
        <w:rPr/>
      </w:pPr>
      <w:r>
        <w:rPr/>
      </w:r>
    </w:p>
    <w:p>
      <w:pPr>
        <w:pStyle w:val="Normal"/>
        <w:bidi w:val="0"/>
        <w:jc w:val="left"/>
        <w:rPr/>
      </w:pPr>
      <w:r>
        <w:rPr/>
        <w:t>In an effort to better grasp (and therefore, properly inform any “foreign agents”) the delegated/enumerated authority of the FBI, I put on my hip-waders, nose plugs, and once again plunged into the swampy, disgusting morass that is the “United States Federal Employee Code” (aka “U.S. Code.”) While it is true that it has nothing to do with us, it is useful to tease apart the tatty sweater that is the skimpy and moth-eaten excuse for our employees authority.  And once again, the expedition paid off.</w:t>
      </w:r>
    </w:p>
    <w:p>
      <w:pPr>
        <w:pStyle w:val="Normal"/>
        <w:bidi w:val="0"/>
        <w:jc w:val="left"/>
        <w:rPr/>
      </w:pPr>
      <w:r>
        <w:rPr/>
      </w:r>
    </w:p>
    <w:p>
      <w:pPr>
        <w:pStyle w:val="Normal"/>
        <w:bidi w:val="0"/>
        <w:jc w:val="left"/>
        <w:rPr/>
      </w:pPr>
      <w:r>
        <w:rPr/>
        <w:t xml:space="preserve">The “FBI,” like most “alphabet agencies” is a wholly “extraterritorial” outfit. Their only authority to be in our country is in pursuit of erring fellow employees (in which they invoke “Special Admiralty Jurisdiction”), </w:t>
      </w:r>
      <w:r>
        <w:rPr/>
        <w:t>or to protect their “Bosses.”</w:t>
      </w:r>
    </w:p>
    <w:p>
      <w:pPr>
        <w:pStyle w:val="Normal"/>
        <w:bidi w:val="0"/>
        <w:jc w:val="left"/>
        <w:rPr/>
      </w:pPr>
      <w:r>
        <w:rPr/>
      </w:r>
    </w:p>
    <w:p>
      <w:pPr>
        <w:pStyle w:val="Normal"/>
        <w:bidi w:val="0"/>
        <w:jc w:val="left"/>
        <w:rPr/>
      </w:pPr>
      <w:r>
        <w:rPr/>
        <w:t xml:space="preserve">Their authority is explained in brief at 28 USC 533, in which the “Attorney General” (a mixed Civil-Military office, as can be seen), authorizes Agencies/Agents to “detect and prosecute crimes against the United States, </w:t>
      </w:r>
      <w:r>
        <w:rPr/>
        <w:t>and to protect the *Persons* of both the President and Attorney General</w:t>
      </w:r>
      <w:r>
        <w:rPr/>
        <w:t>.” Since we know from both 26 USC 7701</w:t>
      </w:r>
      <w:r>
        <w:rPr/>
        <w:t xml:space="preserve">(a)(9) and 28 USC 3002(15) that the “United States” they are referring to is either “the District of Columbia” </w:t>
      </w:r>
    </w:p>
    <w:p>
      <w:pPr>
        <w:pStyle w:val="Normal"/>
        <w:bidi w:val="0"/>
        <w:jc w:val="left"/>
        <w:rPr/>
      </w:pPr>
      <w:r>
        <w:rPr/>
      </w:r>
    </w:p>
    <w:p>
      <w:pPr>
        <w:pStyle w:val="Normal"/>
        <w:bidi w:val="0"/>
        <w:jc w:val="left"/>
        <w:rPr/>
      </w:pPr>
      <w:r>
        <w:fldChar w:fldCharType="begin"/>
      </w:r>
      <w:r>
        <w:rPr>
          <w:rStyle w:val="InternetLink"/>
        </w:rPr>
        <w:instrText> HYPERLINK "https://www.law.cornell.edu/uscode/text/26/7701" \l "a_9"</w:instrText>
      </w:r>
      <w:r>
        <w:rPr>
          <w:rStyle w:val="InternetLink"/>
        </w:rPr>
        <w:fldChar w:fldCharType="separate"/>
      </w:r>
      <w:hyperlink r:id="rId2">
        <w:r>
          <w:rPr>
            <w:rStyle w:val="InternetLink"/>
          </w:rPr>
          <w:t>https://www.law.cornell.edu/uscode/text/26/7701#a_9</w:t>
        </w:r>
      </w:hyperlink>
      <w:r>
        <w:rPr>
          <w:rStyle w:val="InternetLink"/>
        </w:rPr>
        <w:fldChar w:fldCharType="end"/>
      </w:r>
    </w:p>
    <w:p>
      <w:pPr>
        <w:pStyle w:val="Normal"/>
        <w:bidi w:val="0"/>
        <w:jc w:val="left"/>
        <w:rPr/>
      </w:pPr>
      <w:r>
        <w:rPr/>
      </w:r>
    </w:p>
    <w:p>
      <w:pPr>
        <w:pStyle w:val="Normal"/>
        <w:bidi w:val="0"/>
        <w:jc w:val="left"/>
        <w:rPr/>
      </w:pPr>
      <w:r>
        <w:rPr/>
        <w:t>or</w:t>
      </w:r>
    </w:p>
    <w:p>
      <w:pPr>
        <w:pStyle w:val="Normal"/>
        <w:bidi w:val="0"/>
        <w:jc w:val="left"/>
        <w:rPr/>
      </w:pPr>
      <w:r>
        <w:rPr/>
      </w:r>
    </w:p>
    <w:p>
      <w:pPr>
        <w:pStyle w:val="Normal"/>
        <w:bidi w:val="0"/>
        <w:jc w:val="left"/>
        <w:rPr/>
      </w:pPr>
      <w:r>
        <w:rPr/>
        <w:t>“</w:t>
      </w:r>
      <w:r>
        <w:rPr/>
        <w:t>(A) a Federal corporation; (B) an agency, department, commission, board, or other entity of the United States; or (C) an instrumentality of the United States.” (Circular logic is circular).</w:t>
      </w:r>
    </w:p>
    <w:p>
      <w:pPr>
        <w:pStyle w:val="Normal"/>
        <w:bidi w:val="0"/>
        <w:jc w:val="left"/>
        <w:rPr/>
      </w:pPr>
      <w:r>
        <w:rPr/>
      </w:r>
    </w:p>
    <w:p>
      <w:pPr>
        <w:pStyle w:val="Normal"/>
        <w:bidi w:val="0"/>
        <w:jc w:val="left"/>
        <w:rPr/>
      </w:pPr>
      <w:r>
        <w:fldChar w:fldCharType="begin"/>
      </w:r>
      <w:r>
        <w:rPr>
          <w:rStyle w:val="InternetLink"/>
        </w:rPr>
        <w:instrText> HYPERLINK "https://www.law.cornell.edu/uscode/text/28/3002" \l "15"</w:instrText>
      </w:r>
      <w:r>
        <w:rPr>
          <w:rStyle w:val="InternetLink"/>
        </w:rPr>
        <w:fldChar w:fldCharType="separate"/>
      </w:r>
      <w:hyperlink r:id="rId3">
        <w:r>
          <w:rPr>
            <w:rStyle w:val="InternetLink"/>
          </w:rPr>
          <w:t>https://www.law.cornell.edu/uscode/text/28/3002#15</w:t>
        </w:r>
      </w:hyperlink>
      <w:r>
        <w:rPr>
          <w:rStyle w:val="InternetLink"/>
        </w:rPr>
        <w:fldChar w:fldCharType="end"/>
      </w:r>
    </w:p>
    <w:p>
      <w:pPr>
        <w:pStyle w:val="Normal"/>
        <w:bidi w:val="0"/>
        <w:jc w:val="left"/>
        <w:rPr/>
      </w:pPr>
      <w:r>
        <w:rPr/>
      </w:r>
    </w:p>
    <w:p>
      <w:pPr>
        <w:pStyle w:val="Normal"/>
        <w:bidi w:val="0"/>
        <w:jc w:val="left"/>
        <w:rPr/>
      </w:pPr>
      <w:r>
        <w:rPr/>
        <w:t>This means, in a nutshell, that all “Alphabet Agencies” are wholly and absolutely without authority to even address properly declared Americans. Full stop. Unless those Americans venture into the “Exclusive Jurisdiction” of the District of Columbia or Puerto Rico, they are “extraterritorial.” With all associated immunity (as would be logical, different nations/countries have different laws).</w:t>
      </w:r>
    </w:p>
    <w:p>
      <w:pPr>
        <w:pStyle w:val="Normal"/>
        <w:bidi w:val="0"/>
        <w:jc w:val="left"/>
        <w:rPr/>
      </w:pPr>
      <w:r>
        <w:rPr/>
      </w:r>
    </w:p>
    <w:p>
      <w:pPr>
        <w:pStyle w:val="Normal"/>
        <w:bidi w:val="0"/>
        <w:jc w:val="left"/>
        <w:rPr/>
      </w:pPr>
      <w:r>
        <w:rPr/>
        <w:t>Indeed, expanding one’s gaze, 28 USC encompasses a triad of entities, in particular:</w:t>
      </w:r>
    </w:p>
    <w:p>
      <w:pPr>
        <w:pStyle w:val="Normal"/>
        <w:bidi w:val="0"/>
        <w:jc w:val="left"/>
        <w:rPr/>
      </w:pPr>
      <w:r>
        <w:rPr/>
      </w:r>
    </w:p>
    <w:p>
      <w:pPr>
        <w:pStyle w:val="Normal"/>
        <w:bidi w:val="0"/>
        <w:jc w:val="left"/>
        <w:rPr/>
      </w:pPr>
      <w:r>
        <w:rPr/>
        <w:t>The “Department of Justice” (which as already mentioned previously, is a private legal counsel/”think tank” for the “Executive Office).</w:t>
      </w:r>
    </w:p>
    <w:p>
      <w:pPr>
        <w:pStyle w:val="Normal"/>
        <w:bidi w:val="0"/>
        <w:jc w:val="left"/>
        <w:rPr/>
      </w:pPr>
      <w:r>
        <w:rPr/>
      </w:r>
    </w:p>
    <w:p>
      <w:pPr>
        <w:pStyle w:val="Normal"/>
        <w:bidi w:val="0"/>
        <w:jc w:val="left"/>
        <w:rPr/>
      </w:pPr>
      <w:r>
        <w:rPr/>
        <w:t>The “District Courts of the Federal United States”) (the “Federal United States” being defined at the two entries above)</w:t>
      </w:r>
    </w:p>
    <w:p>
      <w:pPr>
        <w:pStyle w:val="Normal"/>
        <w:bidi w:val="0"/>
        <w:jc w:val="left"/>
        <w:rPr/>
      </w:pPr>
      <w:r>
        <w:rPr/>
      </w:r>
    </w:p>
    <w:p>
      <w:pPr>
        <w:pStyle w:val="Normal"/>
        <w:bidi w:val="0"/>
        <w:jc w:val="left"/>
        <w:rPr/>
      </w:pPr>
      <w:r>
        <w:rPr/>
        <w:t>A</w:t>
      </w:r>
      <w:r>
        <w:rPr/>
        <w:t xml:space="preserve">nd </w:t>
      </w:r>
      <w:r>
        <w:rPr/>
        <w:t xml:space="preserve">finally, </w:t>
      </w:r>
      <w:r>
        <w:rPr/>
        <w:t>of greatest interest to us, the “U.S. Trustees.”</w:t>
      </w:r>
    </w:p>
    <w:p>
      <w:pPr>
        <w:pStyle w:val="Normal"/>
        <w:bidi w:val="0"/>
        <w:jc w:val="left"/>
        <w:rPr/>
      </w:pPr>
      <w:r>
        <w:rPr/>
      </w:r>
    </w:p>
    <w:p>
      <w:pPr>
        <w:pStyle w:val="Normal"/>
        <w:bidi w:val="0"/>
        <w:jc w:val="left"/>
        <w:rPr/>
      </w:pPr>
      <w:r>
        <w:rPr/>
        <w:t xml:space="preserve">The latter group stands at the pinnacle of the triad, and further investigation reveals that they “administer” the other two entities to “facilitate the ongoing bankruptcy of (the) United States.” In other words, they are functioning as Administrators (Trustees) of all the properties, assets, and funds that are </w:t>
      </w:r>
      <w:r>
        <w:rPr>
          <w:b/>
          <w:bCs/>
        </w:rPr>
        <w:t>ours.</w:t>
      </w:r>
      <w:r>
        <w:rPr>
          <w:b w:val="false"/>
          <w:bCs w:val="false"/>
        </w:rPr>
        <w:t xml:space="preserve"> </w:t>
      </w:r>
    </w:p>
    <w:p>
      <w:pPr>
        <w:pStyle w:val="Normal"/>
        <w:bidi w:val="0"/>
        <w:jc w:val="left"/>
        <w:rPr>
          <w:b w:val="false"/>
          <w:b w:val="false"/>
          <w:bCs w:val="false"/>
        </w:rPr>
      </w:pPr>
      <w:r>
        <w:rPr/>
      </w:r>
    </w:p>
    <w:p>
      <w:pPr>
        <w:pStyle w:val="Normal"/>
        <w:bidi w:val="0"/>
        <w:jc w:val="left"/>
        <w:rPr/>
      </w:pPr>
      <w:r>
        <w:rPr>
          <w:b w:val="false"/>
          <w:bCs w:val="false"/>
        </w:rPr>
        <w:t xml:space="preserve">But, because they have not been Noticed, continue to live like kings in our Estates. Claiming that </w:t>
      </w:r>
      <w:r>
        <w:rPr>
          <w:b w:val="false"/>
          <w:bCs w:val="false"/>
        </w:rPr>
        <w:t>a</w:t>
      </w:r>
      <w:r>
        <w:rPr>
          <w:b w:val="false"/>
          <w:bCs w:val="false"/>
        </w:rPr>
        <w:t xml:space="preserve"> “citizen of the United States” is a civilly dead entity operating as a co-trustee and co-beneficiary of the PCT, the constructive, cestui que trust of US Inc. under the 14th Amendment, which upholds the debt of the USA and US Inc. in Section 4. (see </w:t>
      </w:r>
      <w:r>
        <w:rPr>
          <w:b w:val="false"/>
          <w:bCs w:val="false"/>
        </w:rPr>
        <w:t>Congressional Record, June 13, 1967, pp. 15641-15646</w:t>
      </w:r>
      <w:r>
        <w:rPr>
          <w:b w:val="false"/>
          <w:bCs w:val="false"/>
        </w:rPr>
        <w:t xml:space="preserve">) is a way to make an end-run around their lack of authority/jurisdiction. </w:t>
      </w:r>
    </w:p>
    <w:p>
      <w:pPr>
        <w:pStyle w:val="Normal"/>
        <w:bidi w:val="0"/>
        <w:jc w:val="left"/>
        <w:rPr>
          <w:b w:val="false"/>
          <w:b w:val="false"/>
          <w:bCs w:val="false"/>
        </w:rPr>
      </w:pPr>
      <w:r>
        <w:rPr/>
      </w:r>
    </w:p>
    <w:p>
      <w:pPr>
        <w:pStyle w:val="Normal"/>
        <w:bidi w:val="0"/>
        <w:jc w:val="left"/>
        <w:rPr/>
      </w:pPr>
      <w:r>
        <w:rPr>
          <w:b w:val="false"/>
          <w:bCs w:val="false"/>
        </w:rPr>
        <w:t xml:space="preserve">We are nothing more than “debtors in possession” of presumptive “Trust assets.” They issue “Letters of Marque and Reprisal” as per their (presumptive) prerogative according to their “service contract” (really a Corporate Charter) “the Constitution of the United States of America, Incorporated.” </w:t>
      </w:r>
    </w:p>
    <w:p>
      <w:pPr>
        <w:pStyle w:val="Normal"/>
        <w:bidi w:val="0"/>
        <w:jc w:val="left"/>
        <w:rPr>
          <w:b w:val="false"/>
          <w:b w:val="false"/>
          <w:bCs w:val="false"/>
        </w:rPr>
      </w:pPr>
      <w:r>
        <w:rPr/>
      </w:r>
    </w:p>
    <w:p>
      <w:pPr>
        <w:pStyle w:val="Normal"/>
        <w:bidi w:val="0"/>
        <w:jc w:val="left"/>
        <w:rPr/>
      </w:pPr>
      <w:r>
        <w:rPr>
          <w:b w:val="false"/>
          <w:bCs w:val="false"/>
        </w:rPr>
        <w:t xml:space="preserve">These “Agents/Agencies” are then nothing more than “Privateer/Bounty Hunters” under “Colors” (term referring to the flag of a privateer) of law. They bring the “Criminal/Dead Entity/Debtor-in-possession” before the “District Courts of the Federal United States” (and by extension, all subordinate/branch/franchise District Courts, which extend on down to “County of County”). They are punished for daring to have the nerve to “steal” from the long-lost, and presumably, long-awaited “heirs/beneficiaries” (that would be us). </w:t>
      </w:r>
    </w:p>
    <w:p>
      <w:pPr>
        <w:pStyle w:val="Normal"/>
        <w:bidi w:val="0"/>
        <w:jc w:val="left"/>
        <w:rPr>
          <w:b w:val="false"/>
          <w:b w:val="false"/>
          <w:bCs w:val="false"/>
        </w:rPr>
      </w:pPr>
      <w:r>
        <w:rPr/>
      </w:r>
    </w:p>
    <w:p>
      <w:pPr>
        <w:pStyle w:val="Normal"/>
        <w:bidi w:val="0"/>
        <w:jc w:val="left"/>
        <w:rPr/>
      </w:pPr>
      <w:r>
        <w:rPr>
          <w:b w:val="false"/>
          <w:bCs w:val="false"/>
        </w:rPr>
        <w:t>Since they are “Civilly-Dead,” they are subjected to “probate” actions. It may say “criminal” or “civil,” but all cases are in fact “probate” as a result of this deceptive and fraudulent scheme.</w:t>
      </w:r>
    </w:p>
    <w:p>
      <w:pPr>
        <w:pStyle w:val="Normal"/>
        <w:bidi w:val="0"/>
        <w:jc w:val="left"/>
        <w:rPr>
          <w:b w:val="false"/>
          <w:b w:val="false"/>
          <w:bCs w:val="false"/>
        </w:rPr>
      </w:pPr>
      <w:r>
        <w:rPr/>
      </w:r>
    </w:p>
    <w:p>
      <w:pPr>
        <w:pStyle w:val="Normal"/>
        <w:bidi w:val="0"/>
        <w:jc w:val="left"/>
        <w:rPr/>
      </w:pPr>
      <w:r>
        <w:rPr>
          <w:b w:val="false"/>
          <w:bCs w:val="false"/>
        </w:rPr>
        <w:t>In this way, they can claim they are “just taking care of the Estate/mansion” while we, the actual American People remain “missing, presumed lost at sea.”</w:t>
      </w:r>
    </w:p>
    <w:p>
      <w:pPr>
        <w:pStyle w:val="Normal"/>
        <w:bidi w:val="0"/>
        <w:jc w:val="left"/>
        <w:rPr>
          <w:b w:val="false"/>
          <w:b w:val="false"/>
          <w:bCs w:val="false"/>
        </w:rPr>
      </w:pPr>
      <w:r>
        <w:rPr/>
      </w:r>
    </w:p>
    <w:p>
      <w:pPr>
        <w:pStyle w:val="Normal"/>
        <w:bidi w:val="0"/>
        <w:jc w:val="left"/>
        <w:rPr/>
      </w:pPr>
      <w:r>
        <w:rPr>
          <w:b w:val="false"/>
          <w:bCs w:val="false"/>
        </w:rPr>
        <w:t>They claim ignorance, and thus, “clean hands.” All the while drinking our wine and growing fat off our larder, as we live in penury.</w:t>
      </w:r>
    </w:p>
    <w:p>
      <w:pPr>
        <w:pStyle w:val="Normal"/>
        <w:bidi w:val="0"/>
        <w:jc w:val="left"/>
        <w:rPr>
          <w:b w:val="false"/>
          <w:b w:val="false"/>
          <w:bCs w:val="false"/>
        </w:rPr>
      </w:pPr>
      <w:r>
        <w:rPr/>
      </w:r>
    </w:p>
    <w:p>
      <w:pPr>
        <w:pStyle w:val="Normal"/>
        <w:bidi w:val="0"/>
        <w:jc w:val="left"/>
        <w:rPr/>
      </w:pPr>
      <w:r>
        <w:rPr>
          <w:b w:val="false"/>
          <w:bCs w:val="false"/>
        </w:rPr>
        <w:t>However, once Notice is provided, these “Trustees/Executors” can no longer claim ignorance, or to be “acting in good faith.” They are now functioning as “Executors de son Tort.” That is, Trustees that have overstepped their authority. Full liability accrues to them, and on down to their fellow travelers/employees in the Alphabet Agencies and “District Courts.”</w:t>
      </w:r>
    </w:p>
    <w:p>
      <w:pPr>
        <w:pStyle w:val="Normal"/>
        <w:bidi w:val="0"/>
        <w:jc w:val="left"/>
        <w:rPr>
          <w:b w:val="false"/>
          <w:b w:val="false"/>
          <w:bCs w:val="false"/>
        </w:rPr>
      </w:pPr>
      <w:r>
        <w:rPr/>
      </w:r>
    </w:p>
    <w:p>
      <w:pPr>
        <w:pStyle w:val="Normal"/>
        <w:bidi w:val="0"/>
        <w:jc w:val="left"/>
        <w:rPr/>
      </w:pPr>
      <w:r>
        <w:rPr>
          <w:b w:val="false"/>
          <w:bCs w:val="false"/>
        </w:rPr>
        <w:t xml:space="preserve">Trustees are </w:t>
      </w:r>
      <w:r>
        <w:rPr>
          <w:b/>
          <w:bCs/>
        </w:rPr>
        <w:t>employees,</w:t>
      </w:r>
      <w:r>
        <w:rPr>
          <w:b w:val="false"/>
          <w:bCs w:val="false"/>
        </w:rPr>
        <w:t xml:space="preserve"> they are the very definition of </w:t>
      </w:r>
      <w:r>
        <w:rPr>
          <w:b/>
          <w:bCs/>
        </w:rPr>
        <w:t>Civil Servants.</w:t>
      </w:r>
      <w:r>
        <w:rPr>
          <w:b w:val="false"/>
          <w:bCs w:val="false"/>
        </w:rPr>
        <w:t xml:space="preserve"> But they have operated rapaciously by claiming we have been gone. “While the Cat is away…”</w:t>
      </w:r>
    </w:p>
    <w:p>
      <w:pPr>
        <w:pStyle w:val="Normal"/>
        <w:bidi w:val="0"/>
        <w:jc w:val="left"/>
        <w:rPr>
          <w:b w:val="false"/>
          <w:b w:val="false"/>
          <w:bCs w:val="false"/>
        </w:rPr>
      </w:pPr>
      <w:r>
        <w:rPr/>
      </w:r>
    </w:p>
    <w:p>
      <w:pPr>
        <w:pStyle w:val="Normal"/>
        <w:bidi w:val="0"/>
        <w:jc w:val="left"/>
        <w:rPr/>
      </w:pPr>
      <w:r>
        <w:rPr>
          <w:b w:val="false"/>
          <w:bCs w:val="false"/>
        </w:rPr>
        <w:t xml:space="preserve">But we are here. It is suggested that Notice be sent to the EOUST (Executive Office, U.S. Trustees), as well as the U.S. Trustee and Assistant Trustee in each “Trustee </w:t>
      </w:r>
      <w:r>
        <w:rPr>
          <w:b w:val="false"/>
          <w:bCs w:val="false"/>
        </w:rPr>
        <w:t>Regions</w:t>
      </w:r>
      <w:r>
        <w:rPr>
          <w:b w:val="false"/>
          <w:bCs w:val="false"/>
        </w:rPr>
        <w:t xml:space="preserve">” (there are 21 of the former, and one each </w:t>
      </w:r>
      <w:r>
        <w:rPr>
          <w:b w:val="false"/>
          <w:bCs w:val="false"/>
        </w:rPr>
        <w:t xml:space="preserve">of the latter </w:t>
      </w:r>
      <w:r>
        <w:rPr>
          <w:b w:val="false"/>
          <w:bCs w:val="false"/>
        </w:rPr>
        <w:t xml:space="preserve">for each “State of State.” These are </w:t>
      </w:r>
      <w:r>
        <w:rPr>
          <w:b w:val="false"/>
          <w:bCs w:val="false"/>
        </w:rPr>
        <w:t>more than likely</w:t>
      </w:r>
      <w:r>
        <w:rPr>
          <w:b w:val="false"/>
          <w:bCs w:val="false"/>
        </w:rPr>
        <w:t xml:space="preserve"> the “hidden string-pullers” behind both the Agencies and District Courts.</w:t>
      </w:r>
    </w:p>
    <w:p>
      <w:pPr>
        <w:pStyle w:val="Normal"/>
        <w:bidi w:val="0"/>
        <w:jc w:val="left"/>
        <w:rPr>
          <w:b w:val="false"/>
          <w:b w:val="false"/>
          <w:bCs w:val="false"/>
        </w:rPr>
      </w:pPr>
      <w:r>
        <w:rPr/>
      </w:r>
    </w:p>
    <w:p>
      <w:pPr>
        <w:pStyle w:val="Normal"/>
        <w:bidi w:val="0"/>
        <w:jc w:val="left"/>
        <w:rPr/>
      </w:pPr>
      <w:r>
        <w:rPr>
          <w:b w:val="false"/>
          <w:bCs w:val="false"/>
        </w:rPr>
        <w:t xml:space="preserve">The Masters become the Servants, and by operation of Law, </w:t>
      </w:r>
      <w:r>
        <w:rPr>
          <w:b/>
          <w:bCs/>
        </w:rPr>
        <w:t>must</w:t>
      </w:r>
      <w:r>
        <w:rPr>
          <w:b w:val="false"/>
          <w:bCs w:val="false"/>
        </w:rPr>
        <w:t xml:space="preserve"> acede to our *</w:t>
      </w:r>
      <w:r>
        <w:rPr>
          <w:b w:val="false"/>
          <w:bCs w:val="false"/>
        </w:rPr>
        <w:t xml:space="preserve">Will,* </w:t>
      </w:r>
      <w:r>
        <w:rPr>
          <w:b w:val="false"/>
          <w:bCs w:val="false"/>
        </w:rPr>
        <w:t>wishes and direction</w:t>
      </w:r>
      <w:r>
        <w:rPr>
          <w:b w:val="false"/>
          <w:bCs w:val="false"/>
        </w:rPr>
        <w:t>s.</w:t>
      </w:r>
    </w:p>
    <w:p>
      <w:pPr>
        <w:pStyle w:val="Normal"/>
        <w:bidi w:val="0"/>
        <w:jc w:val="left"/>
        <w:rPr>
          <w:b w:val="false"/>
          <w:b w:val="false"/>
          <w:bCs w:val="false"/>
        </w:rPr>
      </w:pPr>
      <w:r>
        <w:rPr/>
      </w:r>
    </w:p>
    <w:p>
      <w:pPr>
        <w:pStyle w:val="Normal"/>
        <w:bidi w:val="0"/>
        <w:jc w:val="left"/>
        <w:rPr/>
      </w:pPr>
      <w:r>
        <w:rPr>
          <w:b w:val="false"/>
          <w:bCs w:val="false"/>
        </w:rPr>
        <w:t>The website for the U.S. Trustees is:</w:t>
      </w:r>
    </w:p>
    <w:p>
      <w:pPr>
        <w:pStyle w:val="Normal"/>
        <w:bidi w:val="0"/>
        <w:jc w:val="left"/>
        <w:rPr>
          <w:b w:val="false"/>
          <w:b w:val="false"/>
          <w:bCs w:val="false"/>
        </w:rPr>
      </w:pPr>
      <w:r>
        <w:rPr/>
      </w:r>
    </w:p>
    <w:p>
      <w:pPr>
        <w:pStyle w:val="Normal"/>
        <w:bidi w:val="0"/>
        <w:jc w:val="left"/>
        <w:rPr/>
      </w:pPr>
      <w:r>
        <w:rPr>
          <w:b w:val="false"/>
          <w:bCs w:val="false"/>
        </w:rPr>
        <w:t>https://www.justice.gov/ust</w:t>
      </w:r>
    </w:p>
    <w:p>
      <w:pPr>
        <w:pStyle w:val="Normal"/>
        <w:bidi w:val="0"/>
        <w:jc w:val="left"/>
        <w:rPr>
          <w:b w:val="false"/>
          <w:b w:val="false"/>
          <w:bCs w:val="false"/>
        </w:rPr>
      </w:pPr>
      <w:r>
        <w:rPr/>
      </w:r>
    </w:p>
    <w:p>
      <w:pPr>
        <w:pStyle w:val="Normal"/>
        <w:bidi w:val="0"/>
        <w:jc w:val="left"/>
        <w:rPr/>
      </w:pPr>
      <w:r>
        <w:rPr>
          <w:b w:val="false"/>
          <w:bCs w:val="false"/>
        </w:rPr>
        <w:t>With The Federation and all 50 State Assemblies having provided Notice to numerous entities, it only stands to reason that Notice be given to these “Trustees/Executors.”</w:t>
      </w:r>
    </w:p>
    <w:p>
      <w:pPr>
        <w:pStyle w:val="Normal"/>
        <w:bidi w:val="0"/>
        <w:jc w:val="left"/>
        <w:rPr/>
      </w:pPr>
      <w:r>
        <w:rPr>
          <w:b w:val="false"/>
          <w:bCs w:val="false"/>
        </w:rPr>
        <w:t xml:space="preserve">Again, this information is presented as-is. It is the results of my digging, and connecting the dots. I would not be surprised to see further digging yield more connections. </w:t>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US"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 TargetMode="External"/><Relationship Id="rId3" Type="http://schemas.openxmlformats.org/officeDocument/2006/relationships/hyperlink" Target=""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LibreOffice/7.2.7.2$Linux_X86_64 LibreOffice_project/20$Build-2</Application>
  <AppVersion>15.0000</AppVersion>
  <Pages>3</Pages>
  <Words>951</Words>
  <Characters>5232</Characters>
  <CharactersWithSpaces>6161</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2023-01-21T12:21:58Z</dcterms:created>
  <dc:creator/>
  <dc:description/>
  <dc:language>en-US</dc:language>
  <cp:lastModifiedBy/>
  <dcterms:modified xsi:type="dcterms:W3CDTF">2023-01-21T13:12:54Z</dcterms:modified>
  <cp:revision>3</cp:revision>
  <dc:subject/>
  <dc:title/>
</cp:coreProperties>
</file>