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spacing w:after="280"/>
        <w:jc w:val="center"/>
      </w:pPr>
      <w:r>
        <w:rPr>
          <w:b/>
          <w:color w:val="E7674C"/>
          <w:sz w:val="20"/>
        </w:rPr>
        <w:t>FREE AGENT IMPLEMENTATION KIT</w:t>
      </w:r>
    </w:p>
    <w:p>
      <w:pPr>
        <w:pStyle w:val="Title"/>
        <w:jc w:val="center"/>
      </w:pPr>
      <w:r>
        <w:t>Insurance 101 Starter Kit</w:t>
      </w:r>
    </w:p>
    <w:p>
      <w:pPr>
        <w:pStyle w:val="Subtitle"/>
        <w:jc w:val="center"/>
      </w:pPr>
      <w:r>
        <w:t>Give customers better questions. Create better conversations.</w:t>
      </w:r>
    </w:p>
    <w:p>
      <w:pPr>
        <w:ind w:left="936" w:right="936"/>
        <w:jc w:val="center"/>
      </w:pPr>
      <w:r>
        <w:rPr>
          <w:i/>
          <w:color w:val="617386"/>
          <w:sz w:val="23"/>
        </w:rPr>
        <w:t>A customizable customer education course, book-of-business campaign, and bridge to Agents in School—built for local insurance agencies.</w:t>
      </w:r>
    </w:p>
    <w:p/>
    <w:p>
      <w:pPr>
        <w:jc w:val="center"/>
      </w:pPr>
      <w:r>
        <w:rPr>
          <w:b/>
          <w:color w:val="D8A63B"/>
          <w:sz w:val="24"/>
        </w:rPr>
        <w:t>Known. Trusted. Chosen.</w:t>
      </w:r>
    </w:p>
    <w:p>
      <w:r>
        <w:br w:type="page"/>
      </w:r>
    </w:p>
    <w:p>
      <w:pPr>
        <w:pStyle w:val="Heading1"/>
      </w:pPr>
      <w:r>
        <w:t>The promise</w:t>
      </w:r>
    </w:p>
    <w:p>
      <w:r>
        <w:t>In one focused 90-minute block, an agent can choose the audience, customize the generic Insurance 101 materials, publish a customer resource, and prepare the first book-of-business campaign.</w:t>
      </w:r>
    </w:p>
    <w:tbl>
      <w:tblPr>
        <w:tblW w:type="auto" w:w="0"/>
        <w:jc w:val="center"/>
        <w:tblLayout w:type="fixed"/>
        <w:tblLook w:firstColumn="1" w:firstRow="1" w:lastColumn="0" w:lastRow="0" w:noHBand="0" w:noVBand="1" w:val="04A0"/>
      </w:tblPr>
      <w:tblGrid>
        <w:gridCol w:w="9936"/>
      </w:tblGrid>
      <w:tr>
        <w:trPr>
          <w:tblHeader/>
        </w:trPr>
        <w:tc>
          <w:tcPr>
            <w:tcW w:type="dxa" w:w="9720"/>
            <w:shd w:fill="EEF3F6"/>
            <w:tcMar>
              <w:top w:w="150" w:type="dxa"/>
              <w:start w:w="180" w:type="dxa"/>
              <w:bottom w:w="150" w:type="dxa"/>
              <w:end w:w="180" w:type="dxa"/>
            </w:tcMar>
          </w:tcPr>
          <w:p>
            <w:pPr>
              <w:spacing w:after="0"/>
            </w:pPr>
            <w:r>
              <w:rPr>
                <w:b/>
                <w:color w:val="E7674C"/>
                <w:sz w:val="19"/>
              </w:rPr>
              <w:t xml:space="preserve">FREE ON PURPOSE  </w:t>
            </w:r>
            <w:r>
              <w:rPr>
                <w:b/>
                <w:color w:val="132A44"/>
                <w:sz w:val="22"/>
              </w:rPr>
              <w:t>This kit should be useful without a sales call, form gate, or hidden obligation. Its job is to help agents serve customers now and experience the planning discipline behind Agents in the Community OS.</w:t>
            </w:r>
          </w:p>
        </w:tc>
      </w:tr>
    </w:tbl>
    <w:p>
      <w:pPr>
        <w:spacing w:after="0"/>
      </w:pPr>
    </w:p>
    <w:p>
      <w:pPr>
        <w:pStyle w:val="Heading2"/>
      </w:pPr>
      <w:r>
        <w:t>What the Starter Kit includes</w:t>
      </w:r>
    </w:p>
    <w:p>
      <w:pPr>
        <w:pStyle w:val="ListBullet"/>
        <w:spacing w:after="80"/>
        <w:ind w:left="504" w:hanging="259"/>
      </w:pPr>
      <w:r>
        <w:t>Customer-facing Insurance 101 mini-course deck.</w:t>
      </w:r>
    </w:p>
    <w:p>
      <w:pPr>
        <w:pStyle w:val="ListBullet"/>
        <w:spacing w:after="80"/>
        <w:ind w:left="504" w:hanging="259"/>
      </w:pPr>
      <w:r>
        <w:t>Editable Family Workbook.</w:t>
      </w:r>
    </w:p>
    <w:p>
      <w:pPr>
        <w:pStyle w:val="ListBullet"/>
        <w:spacing w:after="80"/>
        <w:ind w:left="504" w:hanging="259"/>
      </w:pPr>
      <w:r>
        <w:t>Independent and Captive/Franchise customization tracks.</w:t>
      </w:r>
    </w:p>
    <w:p>
      <w:pPr>
        <w:pStyle w:val="ListBullet"/>
        <w:spacing w:after="80"/>
        <w:ind w:left="504" w:hanging="259"/>
      </w:pPr>
      <w:r>
        <w:t>Teen-driver household audit campaign.</w:t>
      </w:r>
    </w:p>
    <w:p>
      <w:pPr>
        <w:pStyle w:val="ListBullet"/>
        <w:spacing w:after="80"/>
        <w:ind w:left="504" w:hanging="259"/>
      </w:pPr>
      <w:r>
        <w:t>Customer emails, social copy, and annual-review CTAs.</w:t>
      </w:r>
    </w:p>
    <w:p>
      <w:pPr>
        <w:pStyle w:val="ListBullet"/>
        <w:spacing w:after="80"/>
        <w:ind w:left="504" w:hanging="259"/>
      </w:pPr>
      <w:r>
        <w:t>Website and download plan.</w:t>
      </w:r>
    </w:p>
    <w:p>
      <w:pPr>
        <w:pStyle w:val="ListBullet"/>
        <w:spacing w:after="80"/>
        <w:ind w:left="504" w:hanging="259"/>
      </w:pPr>
      <w:r>
        <w:t>Click and download measurement plan.</w:t>
      </w:r>
    </w:p>
    <w:p>
      <w:pPr>
        <w:pStyle w:val="ListBullet"/>
        <w:spacing w:after="80"/>
        <w:ind w:left="504" w:hanging="259"/>
      </w:pPr>
      <w:r>
        <w:t>Compliance and approval checklist.</w:t>
      </w:r>
    </w:p>
    <w:p>
      <w:pPr>
        <w:pStyle w:val="Heading2"/>
      </w:pPr>
      <w:r>
        <w:t>What remains inside AITC OS / Agents in School</w:t>
      </w:r>
    </w:p>
    <w:p>
      <w:pPr>
        <w:pStyle w:val="ListBullet"/>
        <w:spacing w:after="80"/>
        <w:ind w:left="504" w:hanging="259"/>
      </w:pPr>
      <w:r>
        <w:t>The broader community-growth operating system.</w:t>
      </w:r>
    </w:p>
    <w:p>
      <w:pPr>
        <w:pStyle w:val="ListBullet"/>
        <w:spacing w:after="80"/>
        <w:ind w:left="504" w:hanging="259"/>
      </w:pPr>
      <w:r>
        <w:t>School opportunity selection, outreach, approval, safety, privacy, and educator relationships.</w:t>
      </w:r>
    </w:p>
    <w:p>
      <w:pPr>
        <w:pStyle w:val="ListBullet"/>
        <w:spacing w:after="80"/>
        <w:ind w:left="504" w:hanging="259"/>
      </w:pPr>
      <w:r>
        <w:t>Classroom facilitator plans and multi-session delivery.</w:t>
      </w:r>
    </w:p>
    <w:p>
      <w:pPr>
        <w:pStyle w:val="ListBullet"/>
        <w:spacing w:after="80"/>
        <w:ind w:left="504" w:hanging="259"/>
      </w:pPr>
      <w:r>
        <w:t>Partnership, event, sponsorship, PR, follow-up, and KPI systems.</w:t>
      </w:r>
    </w:p>
    <w:p>
      <w:pPr>
        <w:pStyle w:val="ListBullet"/>
        <w:spacing w:after="80"/>
        <w:ind w:left="504" w:hanging="259"/>
      </w:pPr>
      <w:r>
        <w:t>90-Day Sprint, implementation support, and full tool library.</w:t>
      </w:r>
    </w:p>
    <w:p>
      <w:r>
        <w:br w:type="page"/>
      </w:r>
    </w:p>
    <w:p>
      <w:pPr>
        <w:pStyle w:val="Heading1"/>
      </w:pPr>
      <w:r>
        <w:t>The 90-Minute Build Block</w:t>
      </w:r>
    </w:p>
    <w:tbl>
      <w:tblPr>
        <w:tblW w:type="auto" w:w="0"/>
        <w:jc w:val="center"/>
        <w:tblLayout w:type="fixed"/>
        <w:tblLook w:firstColumn="1" w:firstRow="1" w:lastColumn="0" w:lastRow="0" w:noHBand="0" w:noVBand="1" w:val="04A0"/>
      </w:tblPr>
      <w:tblGrid>
        <w:gridCol w:w="3312"/>
        <w:gridCol w:w="3312"/>
        <w:gridCol w:w="3312"/>
      </w:tblGrid>
      <w:tr>
        <w:trPr>
          <w:tblHeader/>
        </w:trPr>
        <w:tc>
          <w:tcPr>
            <w:tcW w:type="dxa" w:w="1152"/>
            <w:shd w:fill="132A44"/>
          </w:tcPr>
          <w:p>
            <w:r>
              <w:rPr>
                <w:b/>
                <w:color w:val="FFFFFF"/>
              </w:rPr>
              <w:t>Time</w:t>
            </w:r>
          </w:p>
        </w:tc>
        <w:tc>
          <w:tcPr>
            <w:tcW w:type="dxa" w:w="3744"/>
            <w:shd w:fill="132A44"/>
          </w:tcPr>
          <w:p>
            <w:r>
              <w:rPr>
                <w:b/>
                <w:color w:val="FFFFFF"/>
              </w:rPr>
              <w:t>Action</w:t>
            </w:r>
          </w:p>
        </w:tc>
        <w:tc>
          <w:tcPr>
            <w:tcW w:type="dxa" w:w="4104"/>
            <w:shd w:fill="132A44"/>
          </w:tcPr>
          <w:p>
            <w:r>
              <w:rPr>
                <w:b/>
                <w:color w:val="FFFFFF"/>
              </w:rPr>
              <w:t>Done looks like</w:t>
            </w:r>
          </w:p>
        </w:tc>
      </w:tr>
      <w:tr>
        <w:tc>
          <w:tcPr>
            <w:tcW w:type="dxa" w:w="3312"/>
            <w:tcMar>
              <w:top w:w="100" w:type="dxa"/>
              <w:start w:w="110" w:type="dxa"/>
              <w:bottom w:w="100" w:type="dxa"/>
              <w:end w:w="110" w:type="dxa"/>
            </w:tcMar>
          </w:tcPr>
          <w:p>
            <w:r>
              <w:rPr>
                <w:b/>
              </w:rPr>
              <w:t>0–10</w:t>
            </w:r>
          </w:p>
        </w:tc>
        <w:tc>
          <w:tcPr>
            <w:tcW w:type="dxa" w:w="3312"/>
            <w:tcMar>
              <w:top w:w="100" w:type="dxa"/>
              <w:start w:w="110" w:type="dxa"/>
              <w:bottom w:w="100" w:type="dxa"/>
              <w:end w:w="110" w:type="dxa"/>
            </w:tcMar>
          </w:tcPr>
          <w:p>
            <w:r>
              <w:t>Choose the audience and campaign job.</w:t>
            </w:r>
          </w:p>
        </w:tc>
        <w:tc>
          <w:tcPr>
            <w:tcW w:type="dxa" w:w="3312"/>
            <w:tcMar>
              <w:top w:w="100" w:type="dxa"/>
              <w:start w:w="110" w:type="dxa"/>
              <w:bottom w:w="100" w:type="dxa"/>
              <w:end w:w="110" w:type="dxa"/>
            </w:tcMar>
          </w:tcPr>
          <w:p>
            <w:r>
              <w:t>One audience; one next step.</w:t>
            </w:r>
          </w:p>
        </w:tc>
      </w:tr>
      <w:tr>
        <w:tc>
          <w:tcPr>
            <w:tcW w:type="dxa" w:w="3312"/>
            <w:tcMar>
              <w:top w:w="100" w:type="dxa"/>
              <w:start w:w="110" w:type="dxa"/>
              <w:bottom w:w="100" w:type="dxa"/>
              <w:end w:w="110" w:type="dxa"/>
            </w:tcMar>
            <w:shd w:fill="EEF3F6"/>
          </w:tcPr>
          <w:p>
            <w:r>
              <w:rPr>
                <w:b/>
              </w:rPr>
              <w:t>10–25</w:t>
            </w:r>
          </w:p>
        </w:tc>
        <w:tc>
          <w:tcPr>
            <w:tcW w:type="dxa" w:w="3312"/>
            <w:tcMar>
              <w:top w:w="100" w:type="dxa"/>
              <w:start w:w="110" w:type="dxa"/>
              <w:bottom w:w="100" w:type="dxa"/>
              <w:end w:w="110" w:type="dxa"/>
            </w:tcMar>
            <w:shd w:fill="EEF3F6"/>
          </w:tcPr>
          <w:p>
            <w:r>
              <w:t>Choose Independent or Captive/Franchise track.</w:t>
            </w:r>
          </w:p>
        </w:tc>
        <w:tc>
          <w:tcPr>
            <w:tcW w:type="dxa" w:w="3312"/>
            <w:tcMar>
              <w:top w:w="100" w:type="dxa"/>
              <w:start w:w="110" w:type="dxa"/>
              <w:bottom w:w="100" w:type="dxa"/>
              <w:end w:w="110" w:type="dxa"/>
            </w:tcMar>
            <w:shd w:fill="EEF3F6"/>
          </w:tcPr>
          <w:p>
            <w:r>
              <w:t>Approval path and brand rules documented.</w:t>
            </w:r>
          </w:p>
        </w:tc>
      </w:tr>
      <w:tr>
        <w:tc>
          <w:tcPr>
            <w:tcW w:type="dxa" w:w="3312"/>
            <w:tcMar>
              <w:top w:w="100" w:type="dxa"/>
              <w:start w:w="110" w:type="dxa"/>
              <w:bottom w:w="100" w:type="dxa"/>
              <w:end w:w="110" w:type="dxa"/>
            </w:tcMar>
          </w:tcPr>
          <w:p>
            <w:r>
              <w:rPr>
                <w:b/>
              </w:rPr>
              <w:t>25–45</w:t>
            </w:r>
          </w:p>
        </w:tc>
        <w:tc>
          <w:tcPr>
            <w:tcW w:type="dxa" w:w="3312"/>
            <w:tcMar>
              <w:top w:w="100" w:type="dxa"/>
              <w:start w:w="110" w:type="dxa"/>
              <w:bottom w:w="100" w:type="dxa"/>
              <w:end w:w="110" w:type="dxa"/>
            </w:tcMar>
          </w:tcPr>
          <w:p>
            <w:r>
              <w:t>Customize agency identity, contact information, state notes, examples, and disclaimer.</w:t>
            </w:r>
          </w:p>
        </w:tc>
        <w:tc>
          <w:tcPr>
            <w:tcW w:type="dxa" w:w="3312"/>
            <w:tcMar>
              <w:top w:w="100" w:type="dxa"/>
              <w:start w:w="110" w:type="dxa"/>
              <w:bottom w:w="100" w:type="dxa"/>
              <w:end w:w="110" w:type="dxa"/>
            </w:tcMar>
          </w:tcPr>
          <w:p>
            <w:r>
              <w:t>No placeholders remain.</w:t>
            </w:r>
          </w:p>
        </w:tc>
      </w:tr>
      <w:tr>
        <w:tc>
          <w:tcPr>
            <w:tcW w:type="dxa" w:w="3312"/>
            <w:tcMar>
              <w:top w:w="100" w:type="dxa"/>
              <w:start w:w="110" w:type="dxa"/>
              <w:bottom w:w="100" w:type="dxa"/>
              <w:end w:w="110" w:type="dxa"/>
            </w:tcMar>
            <w:shd w:fill="EEF3F6"/>
          </w:tcPr>
          <w:p>
            <w:r>
              <w:rPr>
                <w:b/>
              </w:rPr>
              <w:t>45–60</w:t>
            </w:r>
          </w:p>
        </w:tc>
        <w:tc>
          <w:tcPr>
            <w:tcW w:type="dxa" w:w="3312"/>
            <w:tcMar>
              <w:top w:w="100" w:type="dxa"/>
              <w:start w:w="110" w:type="dxa"/>
              <w:bottom w:w="100" w:type="dxa"/>
              <w:end w:w="110" w:type="dxa"/>
            </w:tcMar>
            <w:shd w:fill="EEF3F6"/>
          </w:tcPr>
          <w:p>
            <w:r>
              <w:t>Choose hosting and download location.</w:t>
            </w:r>
          </w:p>
        </w:tc>
        <w:tc>
          <w:tcPr>
            <w:tcW w:type="dxa" w:w="3312"/>
            <w:tcMar>
              <w:top w:w="100" w:type="dxa"/>
              <w:start w:w="110" w:type="dxa"/>
              <w:bottom w:w="100" w:type="dxa"/>
              <w:end w:w="110" w:type="dxa"/>
            </w:tcMar>
            <w:shd w:fill="EEF3F6"/>
          </w:tcPr>
          <w:p>
            <w:r>
              <w:t>Public page and file URL selected.</w:t>
            </w:r>
          </w:p>
        </w:tc>
      </w:tr>
      <w:tr>
        <w:tc>
          <w:tcPr>
            <w:tcW w:type="dxa" w:w="3312"/>
            <w:tcMar>
              <w:top w:w="100" w:type="dxa"/>
              <w:start w:w="110" w:type="dxa"/>
              <w:bottom w:w="100" w:type="dxa"/>
              <w:end w:w="110" w:type="dxa"/>
            </w:tcMar>
          </w:tcPr>
          <w:p>
            <w:r>
              <w:rPr>
                <w:b/>
              </w:rPr>
              <w:t>60–75</w:t>
            </w:r>
          </w:p>
        </w:tc>
        <w:tc>
          <w:tcPr>
            <w:tcW w:type="dxa" w:w="3312"/>
            <w:tcMar>
              <w:top w:w="100" w:type="dxa"/>
              <w:start w:w="110" w:type="dxa"/>
              <w:bottom w:w="100" w:type="dxa"/>
              <w:end w:w="110" w:type="dxa"/>
            </w:tcMar>
          </w:tcPr>
          <w:p>
            <w:r>
              <w:t>Build the first email and trigger link / UTM.</w:t>
            </w:r>
          </w:p>
        </w:tc>
        <w:tc>
          <w:tcPr>
            <w:tcW w:type="dxa" w:w="3312"/>
            <w:tcMar>
              <w:top w:w="100" w:type="dxa"/>
              <w:start w:w="110" w:type="dxa"/>
              <w:bottom w:w="100" w:type="dxa"/>
              <w:end w:w="110" w:type="dxa"/>
            </w:tcMar>
          </w:tcPr>
          <w:p>
            <w:r>
              <w:t>Trackable CTA tested.</w:t>
            </w:r>
          </w:p>
        </w:tc>
      </w:tr>
      <w:tr>
        <w:tc>
          <w:tcPr>
            <w:tcW w:type="dxa" w:w="3312"/>
            <w:tcMar>
              <w:top w:w="100" w:type="dxa"/>
              <w:start w:w="110" w:type="dxa"/>
              <w:bottom w:w="100" w:type="dxa"/>
              <w:end w:w="110" w:type="dxa"/>
            </w:tcMar>
            <w:shd w:fill="EEF3F6"/>
          </w:tcPr>
          <w:p>
            <w:r>
              <w:rPr>
                <w:b/>
              </w:rPr>
              <w:t>75–90</w:t>
            </w:r>
          </w:p>
        </w:tc>
        <w:tc>
          <w:tcPr>
            <w:tcW w:type="dxa" w:w="3312"/>
            <w:tcMar>
              <w:top w:w="100" w:type="dxa"/>
              <w:start w:w="110" w:type="dxa"/>
              <w:bottom w:w="100" w:type="dxa"/>
              <w:end w:w="110" w:type="dxa"/>
            </w:tcMar>
            <w:shd w:fill="EEF3F6"/>
          </w:tcPr>
          <w:p>
            <w:r>
              <w:t>Select the first 25–100 customer households.</w:t>
            </w:r>
          </w:p>
        </w:tc>
        <w:tc>
          <w:tcPr>
            <w:tcW w:type="dxa" w:w="3312"/>
            <w:tcMar>
              <w:top w:w="100" w:type="dxa"/>
              <w:start w:w="110" w:type="dxa"/>
              <w:bottom w:w="100" w:type="dxa"/>
              <w:end w:w="110" w:type="dxa"/>
            </w:tcMar>
            <w:shd w:fill="EEF3F6"/>
          </w:tcPr>
          <w:p>
            <w:r>
              <w:t>Tagged list and send date ready.</w:t>
            </w:r>
          </w:p>
        </w:tc>
      </w:tr>
    </w:tbl>
    <w:tbl>
      <w:tblPr>
        <w:tblW w:type="auto" w:w="0"/>
        <w:jc w:val="center"/>
        <w:tblLayout w:type="fixed"/>
        <w:tblLook w:firstColumn="1" w:firstRow="1" w:lastColumn="0" w:lastRow="0" w:noHBand="0" w:noVBand="1" w:val="04A0"/>
      </w:tblPr>
      <w:tblGrid>
        <w:gridCol w:w="9936"/>
      </w:tblGrid>
      <w:tr>
        <w:trPr>
          <w:tblHeader/>
        </w:trPr>
        <w:tc>
          <w:tcPr>
            <w:tcW w:type="dxa" w:w="9720"/>
            <w:shd w:fill="EEF3F6"/>
            <w:tcMar>
              <w:top w:w="150" w:type="dxa"/>
              <w:start w:w="180" w:type="dxa"/>
              <w:bottom w:w="150" w:type="dxa"/>
              <w:end w:w="180" w:type="dxa"/>
            </w:tcMar>
          </w:tcPr>
          <w:p>
            <w:pPr>
              <w:spacing w:after="0"/>
            </w:pPr>
            <w:r>
              <w:rPr>
                <w:b/>
                <w:color w:val="E7674C"/>
                <w:sz w:val="19"/>
              </w:rPr>
              <w:t xml:space="preserve">MVP RULE  </w:t>
            </w:r>
            <w:r>
              <w:rPr>
                <w:b/>
                <w:color w:val="132A44"/>
                <w:sz w:val="22"/>
              </w:rPr>
              <w:t>Do not record eight videos before testing demand. Publish the deck, workbook, and page first. Add narration after customers use it and agents know what questions recur.</w:t>
            </w:r>
          </w:p>
        </w:tc>
      </w:tr>
    </w:tbl>
    <w:p>
      <w:pPr>
        <w:spacing w:after="0"/>
      </w:pPr>
    </w:p>
    <w:p>
      <w:r>
        <w:br w:type="page"/>
      </w:r>
    </w:p>
    <w:p>
      <w:pPr>
        <w:pStyle w:val="Heading1"/>
      </w:pPr>
      <w:r>
        <w:t>Choose the right agency track</w:t>
      </w:r>
    </w:p>
    <w:tbl>
      <w:tblPr>
        <w:tblW w:type="auto" w:w="0"/>
        <w:jc w:val="center"/>
        <w:tblLayout w:type="fixed"/>
        <w:tblLook w:firstColumn="1" w:firstRow="1" w:lastColumn="0" w:lastRow="0" w:noHBand="0" w:noVBand="1" w:val="04A0"/>
      </w:tblPr>
      <w:tblGrid>
        <w:gridCol w:w="3312"/>
        <w:gridCol w:w="3312"/>
        <w:gridCol w:w="3312"/>
      </w:tblGrid>
      <w:tr>
        <w:trPr>
          <w:tblHeader/>
        </w:trPr>
        <w:tc>
          <w:tcPr>
            <w:tcW w:type="dxa" w:w="1800"/>
            <w:shd w:fill="132A44"/>
          </w:tcPr>
          <w:p>
            <w:r>
              <w:rPr>
                <w:b/>
                <w:color w:val="FFFFFF"/>
              </w:rPr>
              <w:t>Dimension</w:t>
            </w:r>
          </w:p>
        </w:tc>
        <w:tc>
          <w:tcPr>
            <w:tcW w:type="dxa" w:w="3600"/>
            <w:shd w:fill="132A44"/>
          </w:tcPr>
          <w:p>
            <w:r>
              <w:rPr>
                <w:b/>
                <w:color w:val="FFFFFF"/>
              </w:rPr>
              <w:t>Independent agency</w:t>
            </w:r>
          </w:p>
        </w:tc>
        <w:tc>
          <w:tcPr>
            <w:tcW w:type="dxa" w:w="3600"/>
            <w:shd w:fill="132A44"/>
          </w:tcPr>
          <w:p>
            <w:r>
              <w:rPr>
                <w:b/>
                <w:color w:val="FFFFFF"/>
              </w:rPr>
              <w:t>Captive / franchise agency</w:t>
            </w:r>
          </w:p>
        </w:tc>
      </w:tr>
      <w:tr>
        <w:tc>
          <w:tcPr>
            <w:tcW w:type="dxa" w:w="3312"/>
            <w:tcMar>
              <w:top w:w="100" w:type="dxa"/>
              <w:start w:w="110" w:type="dxa"/>
              <w:bottom w:w="100" w:type="dxa"/>
              <w:end w:w="110" w:type="dxa"/>
            </w:tcMar>
          </w:tcPr>
          <w:p>
            <w:r>
              <w:rPr>
                <w:b/>
              </w:rPr>
              <w:t>Primary advantage</w:t>
            </w:r>
          </w:p>
        </w:tc>
        <w:tc>
          <w:tcPr>
            <w:tcW w:type="dxa" w:w="3312"/>
            <w:tcMar>
              <w:top w:w="100" w:type="dxa"/>
              <w:start w:w="110" w:type="dxa"/>
              <w:bottom w:w="100" w:type="dxa"/>
              <w:end w:w="110" w:type="dxa"/>
            </w:tcMar>
          </w:tcPr>
          <w:p>
            <w:r>
              <w:t>Flexibility across carriers and customer situations.</w:t>
            </w:r>
          </w:p>
        </w:tc>
        <w:tc>
          <w:tcPr>
            <w:tcW w:type="dxa" w:w="3312"/>
            <w:tcMar>
              <w:top w:w="100" w:type="dxa"/>
              <w:start w:w="110" w:type="dxa"/>
              <w:bottom w:w="100" w:type="dxa"/>
              <w:end w:w="110" w:type="dxa"/>
            </w:tcMar>
          </w:tcPr>
          <w:p>
            <w:r>
              <w:t>Recognized brand, approved materials, existing customer systems.</w:t>
            </w:r>
          </w:p>
        </w:tc>
      </w:tr>
      <w:tr>
        <w:tc>
          <w:tcPr>
            <w:tcW w:type="dxa" w:w="3312"/>
            <w:tcMar>
              <w:top w:w="100" w:type="dxa"/>
              <w:start w:w="110" w:type="dxa"/>
              <w:bottom w:w="100" w:type="dxa"/>
              <w:end w:w="110" w:type="dxa"/>
            </w:tcMar>
            <w:shd w:fill="EEF3F6"/>
          </w:tcPr>
          <w:p>
            <w:r>
              <w:rPr>
                <w:b/>
              </w:rPr>
              <w:t>Primary risk</w:t>
            </w:r>
          </w:p>
        </w:tc>
        <w:tc>
          <w:tcPr>
            <w:tcW w:type="dxa" w:w="3312"/>
            <w:tcMar>
              <w:top w:w="100" w:type="dxa"/>
              <w:start w:w="110" w:type="dxa"/>
              <w:bottom w:w="100" w:type="dxa"/>
              <w:end w:w="110" w:type="dxa"/>
            </w:tcMar>
            <w:shd w:fill="EEF3F6"/>
          </w:tcPr>
          <w:p>
            <w:r>
              <w:t>Inconsistent carrier language or implying universal availability.</w:t>
            </w:r>
          </w:p>
        </w:tc>
        <w:tc>
          <w:tcPr>
            <w:tcW w:type="dxa" w:w="3312"/>
            <w:tcMar>
              <w:top w:w="100" w:type="dxa"/>
              <w:start w:w="110" w:type="dxa"/>
              <w:bottom w:w="100" w:type="dxa"/>
              <w:end w:w="110" w:type="dxa"/>
            </w:tcMar>
            <w:shd w:fill="EEF3F6"/>
          </w:tcPr>
          <w:p>
            <w:r>
              <w:t>Corporate, franchise, compliance, advertising, and brand restrictions.</w:t>
            </w:r>
          </w:p>
        </w:tc>
      </w:tr>
      <w:tr>
        <w:tc>
          <w:tcPr>
            <w:tcW w:type="dxa" w:w="3312"/>
            <w:tcMar>
              <w:top w:w="100" w:type="dxa"/>
              <w:start w:w="110" w:type="dxa"/>
              <w:bottom w:w="100" w:type="dxa"/>
              <w:end w:w="110" w:type="dxa"/>
            </w:tcMar>
          </w:tcPr>
          <w:p>
            <w:r>
              <w:rPr>
                <w:b/>
              </w:rPr>
              <w:t>Branding</w:t>
            </w:r>
          </w:p>
        </w:tc>
        <w:tc>
          <w:tcPr>
            <w:tcW w:type="dxa" w:w="3312"/>
            <w:tcMar>
              <w:top w:w="100" w:type="dxa"/>
              <w:start w:w="110" w:type="dxa"/>
              <w:bottom w:w="100" w:type="dxa"/>
              <w:end w:w="110" w:type="dxa"/>
            </w:tcMar>
          </w:tcPr>
          <w:p>
            <w:r>
              <w:t>Agency-led; identify carriers only when necessary and approved.</w:t>
            </w:r>
          </w:p>
        </w:tc>
        <w:tc>
          <w:tcPr>
            <w:tcW w:type="dxa" w:w="3312"/>
            <w:tcMar>
              <w:top w:w="100" w:type="dxa"/>
              <w:start w:w="110" w:type="dxa"/>
              <w:bottom w:w="100" w:type="dxa"/>
              <w:end w:w="110" w:type="dxa"/>
            </w:tcMar>
          </w:tcPr>
          <w:p>
            <w:r>
              <w:t>Use approved logo, colors, disclosures, and local-agent language.</w:t>
            </w:r>
          </w:p>
        </w:tc>
      </w:tr>
      <w:tr>
        <w:tc>
          <w:tcPr>
            <w:tcW w:type="dxa" w:w="3312"/>
            <w:tcMar>
              <w:top w:w="100" w:type="dxa"/>
              <w:start w:w="110" w:type="dxa"/>
              <w:bottom w:w="100" w:type="dxa"/>
              <w:end w:w="110" w:type="dxa"/>
            </w:tcMar>
            <w:shd w:fill="EEF3F6"/>
          </w:tcPr>
          <w:p>
            <w:r>
              <w:rPr>
                <w:b/>
              </w:rPr>
              <w:t>Coverage examples</w:t>
            </w:r>
          </w:p>
        </w:tc>
        <w:tc>
          <w:tcPr>
            <w:tcW w:type="dxa" w:w="3312"/>
            <w:tcMar>
              <w:top w:w="100" w:type="dxa"/>
              <w:start w:w="110" w:type="dxa"/>
              <w:bottom w:w="100" w:type="dxa"/>
              <w:end w:w="110" w:type="dxa"/>
            </w:tcMar>
            <w:shd w:fill="EEF3F6"/>
          </w:tcPr>
          <w:p>
            <w:r>
              <w:t>Keep generic; avoid implying every market or carrier offers the same option.</w:t>
            </w:r>
          </w:p>
        </w:tc>
        <w:tc>
          <w:tcPr>
            <w:tcW w:type="dxa" w:w="3312"/>
            <w:tcMar>
              <w:top w:w="100" w:type="dxa"/>
              <w:start w:w="110" w:type="dxa"/>
              <w:bottom w:w="100" w:type="dxa"/>
              <w:end w:w="110" w:type="dxa"/>
            </w:tcMar>
            <w:shd w:fill="EEF3F6"/>
          </w:tcPr>
          <w:p>
            <w:r>
              <w:t>Use only approved product descriptions and current company language.</w:t>
            </w:r>
          </w:p>
        </w:tc>
      </w:tr>
      <w:tr>
        <w:tc>
          <w:tcPr>
            <w:tcW w:type="dxa" w:w="3312"/>
            <w:tcMar>
              <w:top w:w="100" w:type="dxa"/>
              <w:start w:w="110" w:type="dxa"/>
              <w:bottom w:w="100" w:type="dxa"/>
              <w:end w:w="110" w:type="dxa"/>
            </w:tcMar>
          </w:tcPr>
          <w:p>
            <w:r>
              <w:rPr>
                <w:b/>
              </w:rPr>
              <w:t>State adaptation</w:t>
            </w:r>
          </w:p>
        </w:tc>
        <w:tc>
          <w:tcPr>
            <w:tcW w:type="dxa" w:w="3312"/>
            <w:tcMar>
              <w:top w:w="100" w:type="dxa"/>
              <w:start w:w="110" w:type="dxa"/>
              <w:bottom w:w="100" w:type="dxa"/>
              <w:end w:w="110" w:type="dxa"/>
            </w:tcMar>
          </w:tcPr>
          <w:p>
            <w:r>
              <w:t>Document state requirements and carrier variation separately.</w:t>
            </w:r>
          </w:p>
        </w:tc>
        <w:tc>
          <w:tcPr>
            <w:tcW w:type="dxa" w:w="3312"/>
            <w:tcMar>
              <w:top w:w="100" w:type="dxa"/>
              <w:start w:w="110" w:type="dxa"/>
              <w:bottom w:w="100" w:type="dxa"/>
              <w:end w:w="110" w:type="dxa"/>
            </w:tcMar>
          </w:tcPr>
          <w:p>
            <w:r>
              <w:t>Use company-approved state materials and escalation path.</w:t>
            </w:r>
          </w:p>
        </w:tc>
      </w:tr>
      <w:tr>
        <w:tc>
          <w:tcPr>
            <w:tcW w:type="dxa" w:w="3312"/>
            <w:tcMar>
              <w:top w:w="100" w:type="dxa"/>
              <w:start w:w="110" w:type="dxa"/>
              <w:bottom w:w="100" w:type="dxa"/>
              <w:end w:w="110" w:type="dxa"/>
            </w:tcMar>
            <w:shd w:fill="EEF3F6"/>
          </w:tcPr>
          <w:p>
            <w:r>
              <w:rPr>
                <w:b/>
              </w:rPr>
              <w:t>CTA</w:t>
            </w:r>
          </w:p>
        </w:tc>
        <w:tc>
          <w:tcPr>
            <w:tcW w:type="dxa" w:w="3312"/>
            <w:tcMar>
              <w:top w:w="100" w:type="dxa"/>
              <w:start w:w="110" w:type="dxa"/>
              <w:bottom w:w="100" w:type="dxa"/>
              <w:end w:w="110" w:type="dxa"/>
            </w:tcMar>
            <w:shd w:fill="EEF3F6"/>
          </w:tcPr>
          <w:p>
            <w:r>
              <w:t>Review options and gaps with the agency.</w:t>
            </w:r>
          </w:p>
        </w:tc>
        <w:tc>
          <w:tcPr>
            <w:tcW w:type="dxa" w:w="3312"/>
            <w:tcMar>
              <w:top w:w="100" w:type="dxa"/>
              <w:start w:w="110" w:type="dxa"/>
              <w:bottom w:w="100" w:type="dxa"/>
              <w:end w:w="110" w:type="dxa"/>
            </w:tcMar>
            <w:shd w:fill="EEF3F6"/>
          </w:tcPr>
          <w:p>
            <w:r>
              <w:t>Review needs and approved options with the local agent.</w:t>
            </w:r>
          </w:p>
        </w:tc>
      </w:tr>
      <w:tr>
        <w:tc>
          <w:tcPr>
            <w:tcW w:type="dxa" w:w="3312"/>
            <w:tcMar>
              <w:top w:w="100" w:type="dxa"/>
              <w:start w:w="110" w:type="dxa"/>
              <w:bottom w:w="100" w:type="dxa"/>
              <w:end w:w="110" w:type="dxa"/>
            </w:tcMar>
          </w:tcPr>
          <w:p>
            <w:r>
              <w:rPr>
                <w:b/>
              </w:rPr>
              <w:t>Distribution</w:t>
            </w:r>
          </w:p>
        </w:tc>
        <w:tc>
          <w:tcPr>
            <w:tcW w:type="dxa" w:w="3312"/>
            <w:tcMar>
              <w:top w:w="100" w:type="dxa"/>
              <w:start w:w="110" w:type="dxa"/>
              <w:bottom w:w="100" w:type="dxa"/>
              <w:end w:w="110" w:type="dxa"/>
            </w:tcMar>
          </w:tcPr>
          <w:p>
            <w:r>
              <w:t>Agency CRM, AMS exports, newsletter, partner channels.</w:t>
            </w:r>
          </w:p>
        </w:tc>
        <w:tc>
          <w:tcPr>
            <w:tcW w:type="dxa" w:w="3312"/>
            <w:tcMar>
              <w:top w:w="100" w:type="dxa"/>
              <w:start w:w="110" w:type="dxa"/>
              <w:bottom w:w="100" w:type="dxa"/>
              <w:end w:w="110" w:type="dxa"/>
            </w:tcMar>
          </w:tcPr>
          <w:p>
            <w:r>
              <w:t>Approved CRM, company tools, local page, approved social channels.</w:t>
            </w:r>
          </w:p>
        </w:tc>
      </w:tr>
      <w:tr>
        <w:tc>
          <w:tcPr>
            <w:tcW w:type="dxa" w:w="3312"/>
            <w:tcMar>
              <w:top w:w="100" w:type="dxa"/>
              <w:start w:w="110" w:type="dxa"/>
              <w:bottom w:w="100" w:type="dxa"/>
              <w:end w:w="110" w:type="dxa"/>
            </w:tcMar>
            <w:shd w:fill="EEF3F6"/>
          </w:tcPr>
          <w:p>
            <w:r>
              <w:rPr>
                <w:b/>
              </w:rPr>
              <w:t>Approval owner</w:t>
            </w:r>
          </w:p>
        </w:tc>
        <w:tc>
          <w:tcPr>
            <w:tcW w:type="dxa" w:w="3312"/>
            <w:tcMar>
              <w:top w:w="100" w:type="dxa"/>
              <w:start w:w="110" w:type="dxa"/>
              <w:bottom w:w="100" w:type="dxa"/>
              <w:end w:w="110" w:type="dxa"/>
            </w:tcMar>
            <w:shd w:fill="EEF3F6"/>
          </w:tcPr>
          <w:p>
            <w:r>
              <w:t>Principal, compliance/E&amp;O adviser, carrier resources as needed.</w:t>
            </w:r>
          </w:p>
        </w:tc>
        <w:tc>
          <w:tcPr>
            <w:tcW w:type="dxa" w:w="3312"/>
            <w:tcMar>
              <w:top w:w="100" w:type="dxa"/>
              <w:start w:w="110" w:type="dxa"/>
              <w:bottom w:w="100" w:type="dxa"/>
              <w:end w:w="110" w:type="dxa"/>
            </w:tcMar>
            <w:shd w:fill="EEF3F6"/>
          </w:tcPr>
          <w:p>
            <w:r>
              <w:t>Corporate/franchise marketing or compliance plus agency owner.</w:t>
            </w:r>
          </w:p>
        </w:tc>
      </w:tr>
    </w:tbl>
    <w:tbl>
      <w:tblPr>
        <w:tblW w:type="auto" w:w="0"/>
        <w:jc w:val="center"/>
        <w:tblLayout w:type="fixed"/>
        <w:tblLook w:firstColumn="1" w:firstRow="1" w:lastColumn="0" w:lastRow="0" w:noHBand="0" w:noVBand="1" w:val="04A0"/>
      </w:tblPr>
      <w:tblGrid>
        <w:gridCol w:w="9936"/>
      </w:tblGrid>
      <w:tr>
        <w:trPr>
          <w:tblHeader/>
        </w:trPr>
        <w:tc>
          <w:tcPr>
            <w:tcW w:type="dxa" w:w="9720"/>
            <w:shd w:fill="EEF3F6"/>
            <w:tcMar>
              <w:top w:w="150" w:type="dxa"/>
              <w:start w:w="180" w:type="dxa"/>
              <w:bottom w:w="150" w:type="dxa"/>
              <w:end w:w="180" w:type="dxa"/>
            </w:tcMar>
          </w:tcPr>
          <w:p>
            <w:pPr>
              <w:spacing w:after="0"/>
            </w:pPr>
            <w:r>
              <w:rPr>
                <w:b/>
                <w:color w:val="E7674C"/>
                <w:sz w:val="19"/>
              </w:rPr>
              <w:t xml:space="preserve">ONE CORE COURSE  </w:t>
            </w:r>
            <w:r>
              <w:rPr>
                <w:b/>
                <w:color w:val="132A44"/>
                <w:sz w:val="22"/>
              </w:rPr>
              <w:t>Do not build two entirely different educational courses. Maintain one generic core, then use a one-page adaptation sheet and approved CTA for each agency model.</w:t>
            </w:r>
          </w:p>
        </w:tc>
      </w:tr>
    </w:tbl>
    <w:p>
      <w:pPr>
        <w:spacing w:after="0"/>
      </w:pPr>
    </w:p>
    <w:p>
      <w:r>
        <w:br w:type="page"/>
      </w:r>
    </w:p>
    <w:p>
      <w:pPr>
        <w:pStyle w:val="Heading1"/>
      </w:pPr>
      <w:r>
        <w:t>Non-negotiable content boundaries</w:t>
      </w:r>
    </w:p>
    <w:p>
      <w:pPr>
        <w:pStyle w:val="ListBullet"/>
        <w:spacing w:after="80"/>
        <w:ind w:left="504" w:hanging="259"/>
      </w:pPr>
      <w:r>
        <w:t>Education is not a coverage recommendation.</w:t>
      </w:r>
    </w:p>
    <w:p>
      <w:pPr>
        <w:pStyle w:val="ListBullet"/>
        <w:spacing w:after="80"/>
        <w:ind w:left="504" w:hanging="259"/>
      </w:pPr>
      <w:r>
        <w:t>The policy and endorsements control—not the slide or workbook.</w:t>
      </w:r>
    </w:p>
    <w:p>
      <w:pPr>
        <w:pStyle w:val="ListBullet"/>
        <w:spacing w:after="80"/>
        <w:ind w:left="504" w:hanging="259"/>
      </w:pPr>
      <w:r>
        <w:t>Requirements, terminology, availability, underwriting, and claims handling vary by state and insurer.</w:t>
      </w:r>
    </w:p>
    <w:p>
      <w:pPr>
        <w:pStyle w:val="ListBullet"/>
        <w:spacing w:after="80"/>
        <w:ind w:left="504" w:hanging="259"/>
      </w:pPr>
      <w:r>
        <w:t>Never promise that a claim will be covered or paid.</w:t>
      </w:r>
    </w:p>
    <w:p>
      <w:pPr>
        <w:pStyle w:val="ListBullet"/>
        <w:spacing w:after="80"/>
        <w:ind w:left="504" w:hanging="259"/>
      </w:pPr>
      <w:r>
        <w:t>Never publish real customer facts, claim details, declarations pages, or identifying information.</w:t>
      </w:r>
    </w:p>
    <w:p>
      <w:pPr>
        <w:pStyle w:val="ListBullet"/>
        <w:spacing w:after="80"/>
        <w:ind w:left="504" w:hanging="259"/>
      </w:pPr>
      <w:r>
        <w:t>Send youth-related resources to the named adult policyholder, parent, or guardian—not directly to minors.</w:t>
      </w:r>
    </w:p>
    <w:p>
      <w:pPr>
        <w:pStyle w:val="ListBullet"/>
        <w:spacing w:after="80"/>
        <w:ind w:left="504" w:hanging="259"/>
      </w:pPr>
      <w:r>
        <w:t>Do not imply a school, employer, carrier, franchise, association, or public agency endorses the course without written permission.</w:t>
      </w:r>
    </w:p>
    <w:p>
      <w:pPr>
        <w:pStyle w:val="ListBullet"/>
        <w:spacing w:after="80"/>
        <w:ind w:left="504" w:hanging="259"/>
      </w:pPr>
      <w:r>
        <w:t>Confirm corporate/franchise approval and state advertising rules before public use.</w:t>
      </w:r>
    </w:p>
    <w:p>
      <w:pPr>
        <w:pStyle w:val="ListBullet"/>
        <w:spacing w:after="80"/>
        <w:ind w:left="504" w:hanging="259"/>
      </w:pPr>
      <w:r>
        <w:t>Use only licensed, approved explanations when moving from education to personal advice.</w:t>
      </w:r>
    </w:p>
    <w:tbl>
      <w:tblPr>
        <w:tblW w:type="auto" w:w="0"/>
        <w:jc w:val="center"/>
        <w:tblLayout w:type="fixed"/>
        <w:tblLook w:firstColumn="1" w:firstRow="1" w:lastColumn="0" w:lastRow="0" w:noHBand="0" w:noVBand="1" w:val="04A0"/>
      </w:tblPr>
      <w:tblGrid>
        <w:gridCol w:w="9936"/>
      </w:tblGrid>
      <w:tr>
        <w:trPr>
          <w:tblHeader/>
        </w:trPr>
        <w:tc>
          <w:tcPr>
            <w:tcW w:type="dxa" w:w="9720"/>
            <w:shd w:fill="EEF3F6"/>
            <w:tcMar>
              <w:top w:w="150" w:type="dxa"/>
              <w:start w:w="180" w:type="dxa"/>
              <w:bottom w:w="150" w:type="dxa"/>
              <w:end w:w="180" w:type="dxa"/>
            </w:tcMar>
          </w:tcPr>
          <w:p>
            <w:pPr>
              <w:spacing w:after="0"/>
            </w:pPr>
            <w:r>
              <w:rPr>
                <w:b/>
                <w:color w:val="E7674C"/>
                <w:sz w:val="19"/>
              </w:rPr>
              <w:t xml:space="preserve">REVIEW BEFORE RELEASE  </w:t>
            </w:r>
            <w:r>
              <w:rPr>
                <w:b/>
                <w:color w:val="132A44"/>
                <w:sz w:val="22"/>
              </w:rPr>
              <w:t>Have the agency’s compliance, E&amp;O, carrier, franchise, or legal resources review the customized version when required. This kit is a drafting and education tool—not approval.</w:t>
            </w:r>
          </w:p>
        </w:tc>
      </w:tr>
    </w:tbl>
    <w:p>
      <w:pPr>
        <w:spacing w:after="0"/>
      </w:pPr>
    </w:p>
    <w:p>
      <w:r>
        <w:br w:type="page"/>
      </w:r>
    </w:p>
    <w:p>
      <w:pPr>
        <w:pStyle w:val="Heading1"/>
      </w:pPr>
      <w:r>
        <w:t>Customization checklist</w:t>
      </w:r>
    </w:p>
    <w:p>
      <w:r>
        <w:rPr>
          <w:color w:val="E7674C"/>
        </w:rPr>
        <w:t xml:space="preserve">☐  </w:t>
      </w:r>
      <w:r>
        <w:t>Agency name and logo</w:t>
      </w:r>
    </w:p>
    <w:p>
      <w:r>
        <w:rPr>
          <w:color w:val="E7674C"/>
        </w:rPr>
        <w:t xml:space="preserve">☐  </w:t>
      </w:r>
      <w:r>
        <w:t>Agent name, license disclosure, and contact information</w:t>
      </w:r>
    </w:p>
    <w:p>
      <w:r>
        <w:rPr>
          <w:color w:val="E7674C"/>
        </w:rPr>
        <w:t xml:space="preserve">☐  </w:t>
      </w:r>
      <w:r>
        <w:t>Service area and licensed states</w:t>
      </w:r>
    </w:p>
    <w:p>
      <w:r>
        <w:rPr>
          <w:color w:val="E7674C"/>
        </w:rPr>
        <w:t xml:space="preserve">☐  </w:t>
      </w:r>
      <w:r>
        <w:t>Independent or Captive/Franchise CTA</w:t>
      </w:r>
    </w:p>
    <w:p>
      <w:r>
        <w:rPr>
          <w:color w:val="E7674C"/>
        </w:rPr>
        <w:t xml:space="preserve">☐  </w:t>
      </w:r>
      <w:r>
        <w:t>State-minimum language removed or verified</w:t>
      </w:r>
    </w:p>
    <w:p>
      <w:r>
        <w:rPr>
          <w:color w:val="E7674C"/>
        </w:rPr>
        <w:t xml:space="preserve">☐  </w:t>
      </w:r>
      <w:r>
        <w:t>State-specific teen licensing link</w:t>
      </w:r>
    </w:p>
    <w:p>
      <w:r>
        <w:rPr>
          <w:color w:val="E7674C"/>
        </w:rPr>
        <w:t xml:space="preserve">☐  </w:t>
      </w:r>
      <w:r>
        <w:t>Carrier/franchise approval completed when required</w:t>
      </w:r>
    </w:p>
    <w:p>
      <w:r>
        <w:rPr>
          <w:color w:val="E7674C"/>
        </w:rPr>
        <w:t xml:space="preserve">☐  </w:t>
      </w:r>
      <w:r>
        <w:t>Examples tested for accuracy</w:t>
      </w:r>
    </w:p>
    <w:p>
      <w:r>
        <w:rPr>
          <w:color w:val="E7674C"/>
        </w:rPr>
        <w:t xml:space="preserve">☐  </w:t>
      </w:r>
      <w:r>
        <w:t>Disclaimers present</w:t>
      </w:r>
    </w:p>
    <w:p>
      <w:r>
        <w:rPr>
          <w:color w:val="E7674C"/>
        </w:rPr>
        <w:t xml:space="preserve">☐  </w:t>
      </w:r>
      <w:r>
        <w:t>All placeholders removed</w:t>
      </w:r>
    </w:p>
    <w:p>
      <w:r>
        <w:rPr>
          <w:color w:val="E7674C"/>
        </w:rPr>
        <w:t xml:space="preserve">☐  </w:t>
      </w:r>
      <w:r>
        <w:t>Links and QR codes tested</w:t>
      </w:r>
    </w:p>
    <w:p>
      <w:r>
        <w:rPr>
          <w:color w:val="E7674C"/>
        </w:rPr>
        <w:t xml:space="preserve">☐  </w:t>
      </w:r>
      <w:r>
        <w:t>Accessible file names and readable contrast</w:t>
      </w:r>
    </w:p>
    <w:p>
      <w:r>
        <w:rPr>
          <w:color w:val="E7674C"/>
        </w:rPr>
        <w:t xml:space="preserve">☐  </w:t>
      </w:r>
      <w:r>
        <w:t>Effective date / version number added</w:t>
      </w:r>
    </w:p>
    <w:p>
      <w:r>
        <w:rPr>
          <w:color w:val="E7674C"/>
        </w:rPr>
        <w:t xml:space="preserve">☐  </w:t>
      </w:r>
      <w:r>
        <w:t>Annual content-review owner assigned</w:t>
      </w:r>
    </w:p>
    <w:p>
      <w:pPr>
        <w:spacing w:after="120"/>
      </w:pPr>
      <w:r>
        <w:rPr>
          <w:b/>
        </w:rPr>
        <w:t xml:space="preserve">Approval owner:  </w:t>
      </w:r>
      <w:r>
        <w:t>____________________________________________________________________________</w:t>
      </w:r>
    </w:p>
    <w:p>
      <w:pPr>
        <w:spacing w:after="120"/>
      </w:pPr>
      <w:r>
        <w:rPr>
          <w:b/>
        </w:rPr>
        <w:t xml:space="preserve">Version date:  </w:t>
      </w:r>
      <w:r>
        <w:t>____________________________________________________________________________</w:t>
      </w:r>
    </w:p>
    <w:p>
      <w:pPr>
        <w:spacing w:after="120"/>
      </w:pPr>
      <w:r>
        <w:rPr>
          <w:b/>
        </w:rPr>
        <w:t xml:space="preserve">Next review date:  </w:t>
      </w:r>
      <w:r>
        <w:t>____________________________________________________________________________</w:t>
      </w:r>
    </w:p>
    <w:p>
      <w:r>
        <w:br w:type="page"/>
      </w:r>
    </w:p>
    <w:p>
      <w:pPr>
        <w:pStyle w:val="Heading1"/>
      </w:pPr>
      <w:r>
        <w:t>Book-of-business campaign lanes</w:t>
      </w:r>
    </w:p>
    <w:tbl>
      <w:tblPr>
        <w:tblW w:type="auto" w:w="0"/>
        <w:jc w:val="center"/>
        <w:tblLayout w:type="fixed"/>
        <w:tblLook w:firstColumn="1" w:firstRow="1" w:lastColumn="0" w:lastRow="0" w:noHBand="0" w:noVBand="1" w:val="04A0"/>
      </w:tblPr>
      <w:tblGrid>
        <w:gridCol w:w="2484"/>
        <w:gridCol w:w="2484"/>
        <w:gridCol w:w="2484"/>
        <w:gridCol w:w="2484"/>
      </w:tblGrid>
      <w:tr>
        <w:trPr>
          <w:tblHeader/>
        </w:trPr>
        <w:tc>
          <w:tcPr>
            <w:tcW w:type="dxa" w:w="1440"/>
            <w:shd w:fill="132A44"/>
          </w:tcPr>
          <w:p>
            <w:r>
              <w:rPr>
                <w:b/>
                <w:color w:val="FFFFFF"/>
              </w:rPr>
              <w:t>Lane</w:t>
            </w:r>
          </w:p>
        </w:tc>
        <w:tc>
          <w:tcPr>
            <w:tcW w:type="dxa" w:w="2880"/>
            <w:shd w:fill="132A44"/>
          </w:tcPr>
          <w:p>
            <w:r>
              <w:rPr>
                <w:b/>
                <w:color w:val="FFFFFF"/>
              </w:rPr>
              <w:t>Who receives it</w:t>
            </w:r>
          </w:p>
        </w:tc>
        <w:tc>
          <w:tcPr>
            <w:tcW w:type="dxa" w:w="2232"/>
            <w:shd w:fill="132A44"/>
          </w:tcPr>
          <w:p>
            <w:r>
              <w:rPr>
                <w:b/>
                <w:color w:val="FFFFFF"/>
              </w:rPr>
              <w:t>Best next step</w:t>
            </w:r>
          </w:p>
        </w:tc>
        <w:tc>
          <w:tcPr>
            <w:tcW w:type="dxa" w:w="2448"/>
            <w:shd w:fill="132A44"/>
          </w:tcPr>
          <w:p>
            <w:r>
              <w:rPr>
                <w:b/>
                <w:color w:val="FFFFFF"/>
              </w:rPr>
              <w:t>Why it matters</w:t>
            </w:r>
          </w:p>
        </w:tc>
      </w:tr>
      <w:tr>
        <w:tc>
          <w:tcPr>
            <w:tcW w:type="dxa" w:w="2484"/>
            <w:tcMar>
              <w:top w:w="100" w:type="dxa"/>
              <w:start w:w="110" w:type="dxa"/>
              <w:bottom w:w="100" w:type="dxa"/>
              <w:end w:w="110" w:type="dxa"/>
            </w:tcMar>
          </w:tcPr>
          <w:p>
            <w:r>
              <w:rPr>
                <w:b/>
              </w:rPr>
              <w:t>Teen / new driver</w:t>
            </w:r>
          </w:p>
        </w:tc>
        <w:tc>
          <w:tcPr>
            <w:tcW w:type="dxa" w:w="2484"/>
            <w:tcMar>
              <w:top w:w="100" w:type="dxa"/>
              <w:start w:w="110" w:type="dxa"/>
              <w:bottom w:w="100" w:type="dxa"/>
              <w:end w:w="110" w:type="dxa"/>
            </w:tcMar>
          </w:tcPr>
          <w:p>
            <w:r>
              <w:t>Adult policyholders with household members approaching driving age.</w:t>
            </w:r>
          </w:p>
        </w:tc>
        <w:tc>
          <w:tcPr>
            <w:tcW w:type="dxa" w:w="2484"/>
            <w:tcMar>
              <w:top w:w="100" w:type="dxa"/>
              <w:start w:w="110" w:type="dxa"/>
              <w:bottom w:w="100" w:type="dxa"/>
              <w:end w:w="110" w:type="dxa"/>
            </w:tcMar>
          </w:tcPr>
          <w:p>
            <w:r>
              <w:t>Family driver review.</w:t>
            </w:r>
          </w:p>
        </w:tc>
        <w:tc>
          <w:tcPr>
            <w:tcW w:type="dxa" w:w="2484"/>
            <w:tcMar>
              <w:top w:w="100" w:type="dxa"/>
              <w:start w:w="110" w:type="dxa"/>
              <w:bottom w:w="100" w:type="dxa"/>
              <w:end w:w="110" w:type="dxa"/>
            </w:tcMar>
          </w:tcPr>
          <w:p>
            <w:r>
              <w:t>Safety, driver disclosure, vehicle use, deductibles, limits, and household rules.</w:t>
            </w:r>
          </w:p>
        </w:tc>
      </w:tr>
      <w:tr>
        <w:tc>
          <w:tcPr>
            <w:tcW w:type="dxa" w:w="2484"/>
            <w:tcMar>
              <w:top w:w="100" w:type="dxa"/>
              <w:start w:w="110" w:type="dxa"/>
              <w:bottom w:w="100" w:type="dxa"/>
              <w:end w:w="110" w:type="dxa"/>
            </w:tcMar>
            <w:shd w:fill="EEF3F6"/>
          </w:tcPr>
          <w:p>
            <w:r>
              <w:rPr>
                <w:b/>
              </w:rPr>
              <w:t>New customer</w:t>
            </w:r>
          </w:p>
        </w:tc>
        <w:tc>
          <w:tcPr>
            <w:tcW w:type="dxa" w:w="2484"/>
            <w:tcMar>
              <w:top w:w="100" w:type="dxa"/>
              <w:start w:w="110" w:type="dxa"/>
              <w:bottom w:w="100" w:type="dxa"/>
              <w:end w:w="110" w:type="dxa"/>
            </w:tcMar>
            <w:shd w:fill="EEF3F6"/>
          </w:tcPr>
          <w:p>
            <w:r>
              <w:t>Named policyholder after onboarding.</w:t>
            </w:r>
          </w:p>
        </w:tc>
        <w:tc>
          <w:tcPr>
            <w:tcW w:type="dxa" w:w="2484"/>
            <w:tcMar>
              <w:top w:w="100" w:type="dxa"/>
              <w:start w:w="110" w:type="dxa"/>
              <w:bottom w:w="100" w:type="dxa"/>
              <w:end w:w="110" w:type="dxa"/>
            </w:tcMar>
            <w:shd w:fill="EEF3F6"/>
          </w:tcPr>
          <w:p>
            <w:r>
              <w:t>Coverage orientation call.</w:t>
            </w:r>
          </w:p>
        </w:tc>
        <w:tc>
          <w:tcPr>
            <w:tcW w:type="dxa" w:w="2484"/>
            <w:tcMar>
              <w:top w:w="100" w:type="dxa"/>
              <w:start w:w="110" w:type="dxa"/>
              <w:bottom w:w="100" w:type="dxa"/>
              <w:end w:w="110" w:type="dxa"/>
            </w:tcMar>
            <w:shd w:fill="EEF3F6"/>
          </w:tcPr>
          <w:p>
            <w:r>
              <w:t>Improves understanding before the first service or claim moment.</w:t>
            </w:r>
          </w:p>
        </w:tc>
      </w:tr>
      <w:tr>
        <w:tc>
          <w:tcPr>
            <w:tcW w:type="dxa" w:w="2484"/>
            <w:tcMar>
              <w:top w:w="100" w:type="dxa"/>
              <w:start w:w="110" w:type="dxa"/>
              <w:bottom w:w="100" w:type="dxa"/>
              <w:end w:w="110" w:type="dxa"/>
            </w:tcMar>
          </w:tcPr>
          <w:p>
            <w:r>
              <w:rPr>
                <w:b/>
              </w:rPr>
              <w:t>Annual review</w:t>
            </w:r>
          </w:p>
        </w:tc>
        <w:tc>
          <w:tcPr>
            <w:tcW w:type="dxa" w:w="2484"/>
            <w:tcMar>
              <w:top w:w="100" w:type="dxa"/>
              <w:start w:w="110" w:type="dxa"/>
              <w:bottom w:w="100" w:type="dxa"/>
              <w:end w:w="110" w:type="dxa"/>
            </w:tcMar>
          </w:tcPr>
          <w:p>
            <w:r>
              <w:t>Customers due for review.</w:t>
            </w:r>
          </w:p>
        </w:tc>
        <w:tc>
          <w:tcPr>
            <w:tcW w:type="dxa" w:w="2484"/>
            <w:tcMar>
              <w:top w:w="100" w:type="dxa"/>
              <w:start w:w="110" w:type="dxa"/>
              <w:bottom w:w="100" w:type="dxa"/>
              <w:end w:w="110" w:type="dxa"/>
            </w:tcMar>
          </w:tcPr>
          <w:p>
            <w:r>
              <w:t>Book the review.</w:t>
            </w:r>
          </w:p>
        </w:tc>
        <w:tc>
          <w:tcPr>
            <w:tcW w:type="dxa" w:w="2484"/>
            <w:tcMar>
              <w:top w:w="100" w:type="dxa"/>
              <w:start w:w="110" w:type="dxa"/>
              <w:bottom w:w="100" w:type="dxa"/>
              <w:end w:w="110" w:type="dxa"/>
            </w:tcMar>
          </w:tcPr>
          <w:p>
            <w:r>
              <w:t>Connects life changes to policy updates and account rounding.</w:t>
            </w:r>
          </w:p>
        </w:tc>
      </w:tr>
      <w:tr>
        <w:tc>
          <w:tcPr>
            <w:tcW w:type="dxa" w:w="2484"/>
            <w:tcMar>
              <w:top w:w="100" w:type="dxa"/>
              <w:start w:w="110" w:type="dxa"/>
              <w:bottom w:w="100" w:type="dxa"/>
              <w:end w:w="110" w:type="dxa"/>
            </w:tcMar>
            <w:shd w:fill="EEF3F6"/>
          </w:tcPr>
          <w:p>
            <w:r>
              <w:rPr>
                <w:b/>
              </w:rPr>
              <w:t>Renters / first home</w:t>
            </w:r>
          </w:p>
        </w:tc>
        <w:tc>
          <w:tcPr>
            <w:tcW w:type="dxa" w:w="2484"/>
            <w:tcMar>
              <w:top w:w="100" w:type="dxa"/>
              <w:start w:w="110" w:type="dxa"/>
              <w:bottom w:w="100" w:type="dxa"/>
              <w:end w:w="110" w:type="dxa"/>
            </w:tcMar>
            <w:shd w:fill="EEF3F6"/>
          </w:tcPr>
          <w:p>
            <w:r>
              <w:t>Customers moving, renting, or buying.</w:t>
            </w:r>
          </w:p>
        </w:tc>
        <w:tc>
          <w:tcPr>
            <w:tcW w:type="dxa" w:w="2484"/>
            <w:tcMar>
              <w:top w:w="100" w:type="dxa"/>
              <w:start w:w="110" w:type="dxa"/>
              <w:bottom w:w="100" w:type="dxa"/>
              <w:end w:w="110" w:type="dxa"/>
            </w:tcMar>
            <w:shd w:fill="EEF3F6"/>
          </w:tcPr>
          <w:p>
            <w:r>
              <w:t>Property and liability review.</w:t>
            </w:r>
          </w:p>
        </w:tc>
        <w:tc>
          <w:tcPr>
            <w:tcW w:type="dxa" w:w="2484"/>
            <w:tcMar>
              <w:top w:w="100" w:type="dxa"/>
              <w:start w:w="110" w:type="dxa"/>
              <w:bottom w:w="100" w:type="dxa"/>
              <w:end w:w="110" w:type="dxa"/>
            </w:tcMar>
            <w:shd w:fill="EEF3F6"/>
          </w:tcPr>
          <w:p>
            <w:r>
              <w:t>Inventory, valuation, address, property use, and new exposures.</w:t>
            </w:r>
          </w:p>
        </w:tc>
      </w:tr>
      <w:tr>
        <w:tc>
          <w:tcPr>
            <w:tcW w:type="dxa" w:w="2484"/>
            <w:tcMar>
              <w:top w:w="100" w:type="dxa"/>
              <w:start w:w="110" w:type="dxa"/>
              <w:bottom w:w="100" w:type="dxa"/>
              <w:end w:w="110" w:type="dxa"/>
            </w:tcMar>
          </w:tcPr>
          <w:p>
            <w:r>
              <w:rPr>
                <w:b/>
              </w:rPr>
              <w:t>Claims follow-up</w:t>
            </w:r>
          </w:p>
        </w:tc>
        <w:tc>
          <w:tcPr>
            <w:tcW w:type="dxa" w:w="2484"/>
            <w:tcMar>
              <w:top w:w="100" w:type="dxa"/>
              <w:start w:w="110" w:type="dxa"/>
              <w:bottom w:w="100" w:type="dxa"/>
              <w:end w:w="110" w:type="dxa"/>
            </w:tcMar>
          </w:tcPr>
          <w:p>
            <w:r>
              <w:t>Adult customers after claim resolution, when appropriate.</w:t>
            </w:r>
          </w:p>
        </w:tc>
        <w:tc>
          <w:tcPr>
            <w:tcW w:type="dxa" w:w="2484"/>
            <w:tcMar>
              <w:top w:w="100" w:type="dxa"/>
              <w:start w:w="110" w:type="dxa"/>
              <w:bottom w:w="100" w:type="dxa"/>
              <w:end w:w="110" w:type="dxa"/>
            </w:tcMar>
          </w:tcPr>
          <w:p>
            <w:r>
              <w:t>Claims debrief / preparedness update.</w:t>
            </w:r>
          </w:p>
        </w:tc>
        <w:tc>
          <w:tcPr>
            <w:tcW w:type="dxa" w:w="2484"/>
            <w:tcMar>
              <w:top w:w="100" w:type="dxa"/>
              <w:start w:w="110" w:type="dxa"/>
              <w:bottom w:w="100" w:type="dxa"/>
              <w:end w:w="110" w:type="dxa"/>
            </w:tcMar>
          </w:tcPr>
          <w:p>
            <w:r>
              <w:t>Turns experience into documentation and risk-prevention learning.</w:t>
            </w:r>
          </w:p>
        </w:tc>
      </w:tr>
      <w:tr>
        <w:tc>
          <w:tcPr>
            <w:tcW w:type="dxa" w:w="2484"/>
            <w:tcMar>
              <w:top w:w="100" w:type="dxa"/>
              <w:start w:w="110" w:type="dxa"/>
              <w:bottom w:w="100" w:type="dxa"/>
              <w:end w:w="110" w:type="dxa"/>
            </w:tcMar>
            <w:shd w:fill="EEF3F6"/>
          </w:tcPr>
          <w:p>
            <w:r>
              <w:rPr>
                <w:b/>
              </w:rPr>
              <w:t>Referral partners</w:t>
            </w:r>
          </w:p>
        </w:tc>
        <w:tc>
          <w:tcPr>
            <w:tcW w:type="dxa" w:w="2484"/>
            <w:tcMar>
              <w:top w:w="100" w:type="dxa"/>
              <w:start w:w="110" w:type="dxa"/>
              <w:bottom w:w="100" w:type="dxa"/>
              <w:end w:w="110" w:type="dxa"/>
            </w:tcMar>
            <w:shd w:fill="EEF3F6"/>
          </w:tcPr>
          <w:p>
            <w:r>
              <w:t>Lenders, real estate, auto, HR, schools, nonprofits.</w:t>
            </w:r>
          </w:p>
        </w:tc>
        <w:tc>
          <w:tcPr>
            <w:tcW w:type="dxa" w:w="2484"/>
            <w:tcMar>
              <w:top w:w="100" w:type="dxa"/>
              <w:start w:w="110" w:type="dxa"/>
              <w:bottom w:w="100" w:type="dxa"/>
              <w:end w:w="110" w:type="dxa"/>
            </w:tcMar>
            <w:shd w:fill="EEF3F6"/>
          </w:tcPr>
          <w:p>
            <w:r>
              <w:t>Share the public resource.</w:t>
            </w:r>
          </w:p>
        </w:tc>
        <w:tc>
          <w:tcPr>
            <w:tcW w:type="dxa" w:w="2484"/>
            <w:tcMar>
              <w:top w:w="100" w:type="dxa"/>
              <w:start w:w="110" w:type="dxa"/>
              <w:bottom w:w="100" w:type="dxa"/>
              <w:end w:w="110" w:type="dxa"/>
            </w:tcMar>
            <w:shd w:fill="EEF3F6"/>
          </w:tcPr>
          <w:p>
            <w:r>
              <w:t>Provides useful education without a hard sales pitch.</w:t>
            </w:r>
          </w:p>
        </w:tc>
      </w:tr>
    </w:tbl>
    <w:p>
      <w:r>
        <w:br w:type="page"/>
      </w:r>
    </w:p>
    <w:p>
      <w:pPr>
        <w:pStyle w:val="Heading1"/>
      </w:pPr>
      <w:r>
        <w:t>Teen-driver household audit</w:t>
      </w:r>
    </w:p>
    <w:p>
      <w:r>
        <w:t>The campaign targets adult policyholders and family decision-makers. Do not export or contact minors directly.</w:t>
      </w:r>
    </w:p>
    <w:p>
      <w:pPr>
        <w:pStyle w:val="Heading2"/>
      </w:pPr>
      <w:r>
        <w:t>Step 1 — Build the candidate list</w:t>
      </w:r>
    </w:p>
    <w:p>
      <w:pPr>
        <w:pStyle w:val="ListBullet"/>
        <w:spacing w:after="80"/>
        <w:ind w:left="504" w:hanging="259"/>
      </w:pPr>
      <w:r>
        <w:t>Use only data the agency lawfully maintains and is permitted to use.</w:t>
      </w:r>
    </w:p>
    <w:p>
      <w:pPr>
        <w:pStyle w:val="ListBullet"/>
        <w:spacing w:after="80"/>
        <w:ind w:left="504" w:hanging="259"/>
      </w:pPr>
      <w:r>
        <w:t>Start with known household changes, prior notes, renewal conversations, vehicles, or adult customer responses.</w:t>
      </w:r>
    </w:p>
    <w:p>
      <w:pPr>
        <w:pStyle w:val="ListBullet"/>
        <w:spacing w:after="80"/>
        <w:ind w:left="504" w:hanging="259"/>
      </w:pPr>
      <w:r>
        <w:t>Do not infer or append sensitive information casually.</w:t>
      </w:r>
    </w:p>
    <w:p>
      <w:pPr>
        <w:pStyle w:val="ListBullet"/>
        <w:spacing w:after="80"/>
        <w:ind w:left="504" w:hanging="259"/>
      </w:pPr>
      <w:r>
        <w:t>Tag the adult contact—not the child—as Insurance101_TeenDriver_Candidate.</w:t>
      </w:r>
    </w:p>
    <w:p>
      <w:pPr>
        <w:pStyle w:val="Heading2"/>
      </w:pPr>
      <w:r>
        <w:t>Step 2 — Invite, do not diagnose</w:t>
      </w:r>
    </w:p>
    <w:p>
      <w:r>
        <w:t>Send the generic family resource and ask whether the household has a new or future driver. Do not state that the agency knows a minor’s age unless the information is accurate, appropriate, and already part of the customer relationship.</w:t>
      </w:r>
    </w:p>
    <w:p>
      <w:pPr>
        <w:pStyle w:val="Heading2"/>
      </w:pPr>
      <w:r>
        <w:t>Step 3 — Offer one next step</w:t>
      </w:r>
    </w:p>
    <w:p>
      <w:pPr>
        <w:pStyle w:val="ListBullet"/>
        <w:spacing w:after="80"/>
        <w:ind w:left="504" w:hanging="259"/>
      </w:pPr>
      <w:r>
        <w:t>Review household drivers and vehicle use.</w:t>
      </w:r>
    </w:p>
    <w:p>
      <w:pPr>
        <w:pStyle w:val="ListBullet"/>
        <w:spacing w:after="80"/>
        <w:ind w:left="504" w:hanging="259"/>
      </w:pPr>
      <w:r>
        <w:t>Discuss deductibles, limits, discounts/programs, and state licensing rules.</w:t>
      </w:r>
    </w:p>
    <w:p>
      <w:pPr>
        <w:pStyle w:val="ListBullet"/>
        <w:spacing w:after="80"/>
        <w:ind w:left="504" w:hanging="259"/>
      </w:pPr>
      <w:r>
        <w:t>Confirm emergency and post-crash steps.</w:t>
      </w:r>
    </w:p>
    <w:p>
      <w:pPr>
        <w:pStyle w:val="ListBullet"/>
        <w:spacing w:after="80"/>
        <w:ind w:left="504" w:hanging="259"/>
      </w:pPr>
      <w:r>
        <w:t>Offer a written parent–teen driving agreement from an authoritative safety source.</w:t>
      </w:r>
    </w:p>
    <w:p>
      <w:pPr>
        <w:pStyle w:val="Heading2"/>
      </w:pPr>
      <w:r>
        <w:t>Step 4 — Record outcomes</w:t>
      </w:r>
    </w:p>
    <w:p>
      <w:pPr>
        <w:pStyle w:val="ListBullet"/>
        <w:spacing w:after="80"/>
        <w:ind w:left="504" w:hanging="259"/>
      </w:pPr>
      <w:r>
        <w:t>Resource clicked</w:t>
      </w:r>
    </w:p>
    <w:p>
      <w:pPr>
        <w:pStyle w:val="ListBullet"/>
        <w:spacing w:after="80"/>
        <w:ind w:left="504" w:hanging="259"/>
      </w:pPr>
      <w:r>
        <w:t>Review booked</w:t>
      </w:r>
    </w:p>
    <w:p>
      <w:pPr>
        <w:pStyle w:val="ListBullet"/>
        <w:spacing w:after="80"/>
        <w:ind w:left="504" w:hanging="259"/>
      </w:pPr>
      <w:r>
        <w:t>Household information updated</w:t>
      </w:r>
    </w:p>
    <w:p>
      <w:pPr>
        <w:pStyle w:val="ListBullet"/>
        <w:spacing w:after="80"/>
        <w:ind w:left="504" w:hanging="259"/>
      </w:pPr>
      <w:r>
        <w:t>Quote or endorsement requested</w:t>
      </w:r>
    </w:p>
    <w:p>
      <w:pPr>
        <w:pStyle w:val="ListBullet"/>
        <w:spacing w:after="80"/>
        <w:ind w:left="504" w:hanging="259"/>
      </w:pPr>
      <w:r>
        <w:t>Referral received</w:t>
      </w:r>
    </w:p>
    <w:p>
      <w:pPr>
        <w:pStyle w:val="ListBullet"/>
        <w:spacing w:after="80"/>
        <w:ind w:left="504" w:hanging="259"/>
      </w:pPr>
      <w:r>
        <w:t>No action / revisit date</w:t>
      </w:r>
    </w:p>
    <w:p>
      <w:r>
        <w:br w:type="page"/>
      </w:r>
    </w:p>
    <w:p>
      <w:pPr>
        <w:pStyle w:val="Heading1"/>
      </w:pPr>
      <w:r>
        <w:t>Customer email templates</w:t>
      </w:r>
    </w:p>
    <w:p>
      <w:pPr>
        <w:pStyle w:val="Heading2"/>
      </w:pPr>
      <w:r>
        <w:t>Teen-driver household</w:t>
      </w:r>
    </w:p>
    <w:p>
      <w:r>
        <w:rPr>
          <w:b/>
        </w:rPr>
        <w:t xml:space="preserve">Subject: </w:t>
      </w:r>
      <w:r>
        <w:t>Insurance 101 for families with a new or future driver</w:t>
      </w:r>
    </w:p>
    <w:p>
      <w:r>
        <w:t>Hi [First Name],</w:t>
      </w:r>
    </w:p>
    <w:p>
      <w:r>
        <w:t>Driving creates new freedom—and new financial responsibility. We created a free, plain-English Insurance 101 course and family workbook covering risk, deductibles, liability, claims, and the questions to discuss before a new driver gets behind the wheel. No form is required. Use it, then contact us if you would like a family driver review.</w:t>
      </w:r>
    </w:p>
    <w:p>
      <w:r>
        <w:rPr>
          <w:b/>
        </w:rPr>
        <w:t>CTA: View Insurance 101</w:t>
      </w:r>
    </w:p>
    <w:p>
      <w:r>
        <w:t>[Agent Name]</w:t>
        <w:br/>
        <w:t>[Agency]</w:t>
        <w:br/>
        <w:t>[Phone] | [Website]</w:t>
      </w:r>
    </w:p>
    <w:p>
      <w:pPr>
        <w:pStyle w:val="Heading2"/>
      </w:pPr>
      <w:r>
        <w:t>Annual review</w:t>
      </w:r>
    </w:p>
    <w:p>
      <w:r>
        <w:rPr>
          <w:b/>
        </w:rPr>
        <w:t xml:space="preserve">Subject: </w:t>
      </w:r>
      <w:r>
        <w:t>Three insurance questions every household should ask</w:t>
      </w:r>
    </w:p>
    <w:p>
      <w:r>
        <w:t>Hi [First Name],</w:t>
      </w:r>
    </w:p>
    <w:p>
      <w:r>
        <w:t>Insurance gets complicated because life changes faster than most policies get reviewed. Our free Insurance 101 course will help you understand the vocabulary, identify major tradeoffs, and prepare three better questions for your next review.</w:t>
      </w:r>
    </w:p>
    <w:p>
      <w:r>
        <w:rPr>
          <w:b/>
        </w:rPr>
        <w:t>CTA: Start the free course</w:t>
      </w:r>
    </w:p>
    <w:p>
      <w:r>
        <w:t>[Agent Name]</w:t>
        <w:br/>
        <w:t>[Agency]</w:t>
        <w:br/>
        <w:t>[Phone] | [Website]</w:t>
      </w:r>
    </w:p>
    <w:p>
      <w:pPr>
        <w:pStyle w:val="Heading2"/>
      </w:pPr>
      <w:r>
        <w:t>New customer</w:t>
      </w:r>
    </w:p>
    <w:p>
      <w:r>
        <w:rPr>
          <w:b/>
        </w:rPr>
        <w:t xml:space="preserve">Subject: </w:t>
      </w:r>
      <w:r>
        <w:t>A plain-English guide to your insurance decisions</w:t>
      </w:r>
    </w:p>
    <w:p>
      <w:r>
        <w:t>Hi [First Name],</w:t>
      </w:r>
    </w:p>
    <w:p>
      <w:r>
        <w:t>Welcome. We created Insurance 101 to help customers understand risk, premiums, deductibles, limits, exclusions, and claims before those terms matter during a loss. It is educational and generic; your policy and personal review provide the specific answers.</w:t>
      </w:r>
    </w:p>
    <w:p>
      <w:r>
        <w:rPr>
          <w:b/>
        </w:rPr>
        <w:t>CTA: Open Insurance 101</w:t>
      </w:r>
    </w:p>
    <w:p>
      <w:r>
        <w:t>[Agent Name]</w:t>
        <w:br/>
        <w:t>[Agency]</w:t>
        <w:br/>
        <w:t>[Phone] | [Website]</w:t>
      </w:r>
    </w:p>
    <w:p>
      <w:r>
        <w:br w:type="page"/>
      </w:r>
    </w:p>
    <w:p>
      <w:pPr>
        <w:pStyle w:val="Heading1"/>
      </w:pPr>
      <w:r>
        <w:t>Measurement that matters</w:t>
      </w:r>
    </w:p>
    <w:tbl>
      <w:tblPr>
        <w:tblW w:type="auto" w:w="0"/>
        <w:jc w:val="center"/>
        <w:tblLayout w:type="fixed"/>
        <w:tblLook w:firstColumn="1" w:firstRow="1" w:lastColumn="0" w:lastRow="0" w:noHBand="0" w:noVBand="1" w:val="04A0"/>
      </w:tblPr>
      <w:tblGrid>
        <w:gridCol w:w="3312"/>
        <w:gridCol w:w="3312"/>
        <w:gridCol w:w="3312"/>
      </w:tblGrid>
      <w:tr>
        <w:trPr>
          <w:tblHeader/>
        </w:trPr>
        <w:tc>
          <w:tcPr>
            <w:tcW w:type="dxa" w:w="1152"/>
            <w:shd w:fill="132A44"/>
          </w:tcPr>
          <w:p>
            <w:r>
              <w:rPr>
                <w:b/>
                <w:color w:val="FFFFFF"/>
              </w:rPr>
              <w:t>Level</w:t>
            </w:r>
          </w:p>
        </w:tc>
        <w:tc>
          <w:tcPr>
            <w:tcW w:type="dxa" w:w="3888"/>
            <w:shd w:fill="132A44"/>
          </w:tcPr>
          <w:p>
            <w:r>
              <w:rPr>
                <w:b/>
                <w:color w:val="FFFFFF"/>
              </w:rPr>
              <w:t>Track</w:t>
            </w:r>
          </w:p>
        </w:tc>
        <w:tc>
          <w:tcPr>
            <w:tcW w:type="dxa" w:w="3671"/>
            <w:shd w:fill="132A44"/>
          </w:tcPr>
          <w:p>
            <w:r>
              <w:rPr>
                <w:b/>
                <w:color w:val="FFFFFF"/>
              </w:rPr>
              <w:t>Decision</w:t>
            </w:r>
          </w:p>
        </w:tc>
      </w:tr>
      <w:tr>
        <w:tc>
          <w:tcPr>
            <w:tcW w:type="dxa" w:w="3312"/>
            <w:tcMar>
              <w:top w:w="100" w:type="dxa"/>
              <w:start w:w="110" w:type="dxa"/>
              <w:bottom w:w="100" w:type="dxa"/>
              <w:end w:w="110" w:type="dxa"/>
            </w:tcMar>
          </w:tcPr>
          <w:p>
            <w:r>
              <w:rPr>
                <w:b/>
              </w:rPr>
              <w:t>Reach</w:t>
            </w:r>
          </w:p>
        </w:tc>
        <w:tc>
          <w:tcPr>
            <w:tcW w:type="dxa" w:w="3312"/>
            <w:tcMar>
              <w:top w:w="100" w:type="dxa"/>
              <w:start w:w="110" w:type="dxa"/>
              <w:bottom w:w="100" w:type="dxa"/>
              <w:end w:w="110" w:type="dxa"/>
            </w:tcMar>
          </w:tcPr>
          <w:p>
            <w:r>
              <w:t>Delivered emails, page visits, unique users.</w:t>
            </w:r>
          </w:p>
        </w:tc>
        <w:tc>
          <w:tcPr>
            <w:tcW w:type="dxa" w:w="3312"/>
            <w:tcMar>
              <w:top w:w="100" w:type="dxa"/>
              <w:start w:w="110" w:type="dxa"/>
              <w:bottom w:w="100" w:type="dxa"/>
              <w:end w:w="110" w:type="dxa"/>
            </w:tcMar>
          </w:tcPr>
          <w:p>
            <w:r>
              <w:t>Did the right audience receive it?</w:t>
            </w:r>
          </w:p>
        </w:tc>
      </w:tr>
      <w:tr>
        <w:tc>
          <w:tcPr>
            <w:tcW w:type="dxa" w:w="3312"/>
            <w:tcMar>
              <w:top w:w="100" w:type="dxa"/>
              <w:start w:w="110" w:type="dxa"/>
              <w:bottom w:w="100" w:type="dxa"/>
              <w:end w:w="110" w:type="dxa"/>
            </w:tcMar>
            <w:shd w:fill="EEF3F6"/>
          </w:tcPr>
          <w:p>
            <w:r>
              <w:rPr>
                <w:b/>
              </w:rPr>
              <w:t>Interest</w:t>
            </w:r>
          </w:p>
        </w:tc>
        <w:tc>
          <w:tcPr>
            <w:tcW w:type="dxa" w:w="3312"/>
            <w:tcMar>
              <w:top w:w="100" w:type="dxa"/>
              <w:start w:w="110" w:type="dxa"/>
              <w:bottom w:w="100" w:type="dxa"/>
              <w:end w:w="110" w:type="dxa"/>
            </w:tcMar>
            <w:shd w:fill="EEF3F6"/>
          </w:tcPr>
          <w:p>
            <w:r>
              <w:t>CTA clicks, file downloads, course starts.</w:t>
            </w:r>
          </w:p>
        </w:tc>
        <w:tc>
          <w:tcPr>
            <w:tcW w:type="dxa" w:w="3312"/>
            <w:tcMar>
              <w:top w:w="100" w:type="dxa"/>
              <w:start w:w="110" w:type="dxa"/>
              <w:bottom w:w="100" w:type="dxa"/>
              <w:end w:w="110" w:type="dxa"/>
            </w:tcMar>
            <w:shd w:fill="EEF3F6"/>
          </w:tcPr>
          <w:p>
            <w:r>
              <w:t>Did the promise earn attention?</w:t>
            </w:r>
          </w:p>
        </w:tc>
      </w:tr>
      <w:tr>
        <w:tc>
          <w:tcPr>
            <w:tcW w:type="dxa" w:w="3312"/>
            <w:tcMar>
              <w:top w:w="100" w:type="dxa"/>
              <w:start w:w="110" w:type="dxa"/>
              <w:bottom w:w="100" w:type="dxa"/>
              <w:end w:w="110" w:type="dxa"/>
            </w:tcMar>
          </w:tcPr>
          <w:p>
            <w:r>
              <w:rPr>
                <w:b/>
              </w:rPr>
              <w:t>Action</w:t>
            </w:r>
          </w:p>
        </w:tc>
        <w:tc>
          <w:tcPr>
            <w:tcW w:type="dxa" w:w="3312"/>
            <w:tcMar>
              <w:top w:w="100" w:type="dxa"/>
              <w:start w:w="110" w:type="dxa"/>
              <w:bottom w:w="100" w:type="dxa"/>
              <w:end w:w="110" w:type="dxa"/>
            </w:tcMar>
          </w:tcPr>
          <w:p>
            <w:r>
              <w:t>Reviews booked, replies, household updates, questions.</w:t>
            </w:r>
          </w:p>
        </w:tc>
        <w:tc>
          <w:tcPr>
            <w:tcW w:type="dxa" w:w="3312"/>
            <w:tcMar>
              <w:top w:w="100" w:type="dxa"/>
              <w:start w:w="110" w:type="dxa"/>
              <w:bottom w:w="100" w:type="dxa"/>
              <w:end w:w="110" w:type="dxa"/>
            </w:tcMar>
          </w:tcPr>
          <w:p>
            <w:r>
              <w:t>Did education create a useful conversation?</w:t>
            </w:r>
          </w:p>
        </w:tc>
      </w:tr>
      <w:tr>
        <w:tc>
          <w:tcPr>
            <w:tcW w:type="dxa" w:w="3312"/>
            <w:tcMar>
              <w:top w:w="100" w:type="dxa"/>
              <w:start w:w="110" w:type="dxa"/>
              <w:bottom w:w="100" w:type="dxa"/>
              <w:end w:w="110" w:type="dxa"/>
            </w:tcMar>
            <w:shd w:fill="EEF3F6"/>
          </w:tcPr>
          <w:p>
            <w:r>
              <w:rPr>
                <w:b/>
              </w:rPr>
              <w:t>Result</w:t>
            </w:r>
          </w:p>
        </w:tc>
        <w:tc>
          <w:tcPr>
            <w:tcW w:type="dxa" w:w="3312"/>
            <w:tcMar>
              <w:top w:w="100" w:type="dxa"/>
              <w:start w:w="110" w:type="dxa"/>
              <w:bottom w:w="100" w:type="dxa"/>
              <w:end w:w="110" w:type="dxa"/>
            </w:tcMar>
            <w:shd w:fill="EEF3F6"/>
          </w:tcPr>
          <w:p>
            <w:r>
              <w:t>Quotes, account rounding, retention touches, referrals, partner shares.</w:t>
            </w:r>
          </w:p>
        </w:tc>
        <w:tc>
          <w:tcPr>
            <w:tcW w:type="dxa" w:w="3312"/>
            <w:tcMar>
              <w:top w:w="100" w:type="dxa"/>
              <w:start w:w="110" w:type="dxa"/>
              <w:bottom w:w="100" w:type="dxa"/>
              <w:end w:w="110" w:type="dxa"/>
            </w:tcMar>
            <w:shd w:fill="EEF3F6"/>
          </w:tcPr>
          <w:p>
            <w:r>
              <w:t>Did the campaign strengthen the book or relationship?</w:t>
            </w:r>
          </w:p>
        </w:tc>
      </w:tr>
      <w:tr>
        <w:tc>
          <w:tcPr>
            <w:tcW w:type="dxa" w:w="3312"/>
            <w:tcMar>
              <w:top w:w="100" w:type="dxa"/>
              <w:start w:w="110" w:type="dxa"/>
              <w:bottom w:w="100" w:type="dxa"/>
              <w:end w:w="110" w:type="dxa"/>
            </w:tcMar>
          </w:tcPr>
          <w:p>
            <w:r>
              <w:rPr>
                <w:b/>
              </w:rPr>
              <w:t>Bridge</w:t>
            </w:r>
          </w:p>
        </w:tc>
        <w:tc>
          <w:tcPr>
            <w:tcW w:type="dxa" w:w="3312"/>
            <w:tcMar>
              <w:top w:w="100" w:type="dxa"/>
              <w:start w:w="110" w:type="dxa"/>
              <w:bottom w:w="100" w:type="dxa"/>
              <w:end w:w="110" w:type="dxa"/>
            </w:tcMar>
          </w:tcPr>
          <w:p>
            <w:r>
              <w:t>Agents who later explore Agents in School or AITC OS.</w:t>
            </w:r>
          </w:p>
        </w:tc>
        <w:tc>
          <w:tcPr>
            <w:tcW w:type="dxa" w:w="3312"/>
            <w:tcMar>
              <w:top w:w="100" w:type="dxa"/>
              <w:start w:w="110" w:type="dxa"/>
              <w:bottom w:w="100" w:type="dxa"/>
              <w:end w:w="110" w:type="dxa"/>
            </w:tcMar>
          </w:tcPr>
          <w:p>
            <w:r>
              <w:t>Did free value reveal the larger need?</w:t>
            </w:r>
          </w:p>
        </w:tc>
      </w:tr>
    </w:tbl>
    <w:tbl>
      <w:tblPr>
        <w:tblW w:type="auto" w:w="0"/>
        <w:jc w:val="center"/>
        <w:tblLayout w:type="fixed"/>
        <w:tblLook w:firstColumn="1" w:firstRow="1" w:lastColumn="0" w:lastRow="0" w:noHBand="0" w:noVBand="1" w:val="04A0"/>
      </w:tblPr>
      <w:tblGrid>
        <w:gridCol w:w="9936"/>
      </w:tblGrid>
      <w:tr>
        <w:trPr>
          <w:tblHeader/>
        </w:trPr>
        <w:tc>
          <w:tcPr>
            <w:tcW w:type="dxa" w:w="9720"/>
            <w:shd w:fill="EEF3F6"/>
            <w:tcMar>
              <w:top w:w="150" w:type="dxa"/>
              <w:start w:w="180" w:type="dxa"/>
              <w:bottom w:w="150" w:type="dxa"/>
              <w:end w:w="180" w:type="dxa"/>
            </w:tcMar>
          </w:tcPr>
          <w:p>
            <w:pPr>
              <w:spacing w:after="0"/>
            </w:pPr>
            <w:r>
              <w:rPr>
                <w:b/>
                <w:color w:val="E7674C"/>
                <w:sz w:val="19"/>
              </w:rPr>
              <w:t xml:space="preserve">NO GATE REALITY  </w:t>
            </w:r>
            <w:r>
              <w:rPr>
                <w:b/>
                <w:color w:val="132A44"/>
                <w:sz w:val="22"/>
              </w:rPr>
              <w:t>A public website can show aggregate or anonymous downloads. To identify the specific contact without a form, send the link through a contact-aware CRM trigger link. Random website visitors remain anonymous unless they identify themselves or are already authenticated.</w:t>
            </w:r>
          </w:p>
        </w:tc>
      </w:tr>
    </w:tbl>
    <w:p>
      <w:pPr>
        <w:spacing w:after="0"/>
      </w:pPr>
    </w:p>
    <w:p>
      <w:r>
        <w:br w:type="page"/>
      </w:r>
    </w:p>
    <w:p>
      <w:pPr>
        <w:pStyle w:val="Heading1"/>
      </w:pPr>
      <w:r>
        <w:t>30-Day MVP rollout</w:t>
      </w:r>
    </w:p>
    <w:tbl>
      <w:tblPr>
        <w:tblW w:type="auto" w:w="0"/>
        <w:jc w:val="center"/>
        <w:tblLayout w:type="fixed"/>
        <w:tblLook w:firstColumn="1" w:firstRow="1" w:lastColumn="0" w:lastRow="0" w:noHBand="0" w:noVBand="1" w:val="04A0"/>
      </w:tblPr>
      <w:tblGrid>
        <w:gridCol w:w="3312"/>
        <w:gridCol w:w="3312"/>
        <w:gridCol w:w="3312"/>
      </w:tblGrid>
      <w:tr>
        <w:trPr>
          <w:tblHeader/>
        </w:trPr>
        <w:tc>
          <w:tcPr>
            <w:tcW w:type="dxa" w:w="936"/>
            <w:shd w:fill="132A44"/>
          </w:tcPr>
          <w:p>
            <w:r>
              <w:rPr>
                <w:b/>
                <w:color w:val="FFFFFF"/>
              </w:rPr>
              <w:t>Week</w:t>
            </w:r>
          </w:p>
        </w:tc>
        <w:tc>
          <w:tcPr>
            <w:tcW w:type="dxa" w:w="4320"/>
            <w:shd w:fill="132A44"/>
          </w:tcPr>
          <w:p>
            <w:r>
              <w:rPr>
                <w:b/>
                <w:color w:val="FFFFFF"/>
              </w:rPr>
              <w:t>Build</w:t>
            </w:r>
          </w:p>
        </w:tc>
        <w:tc>
          <w:tcPr>
            <w:tcW w:type="dxa" w:w="3456"/>
            <w:shd w:fill="132A44"/>
          </w:tcPr>
          <w:p>
            <w:r>
              <w:rPr>
                <w:b/>
                <w:color w:val="FFFFFF"/>
              </w:rPr>
              <w:t>Test / send</w:t>
            </w:r>
          </w:p>
        </w:tc>
      </w:tr>
      <w:tr>
        <w:tc>
          <w:tcPr>
            <w:tcW w:type="dxa" w:w="3312"/>
            <w:tcMar>
              <w:top w:w="100" w:type="dxa"/>
              <w:start w:w="110" w:type="dxa"/>
              <w:bottom w:w="100" w:type="dxa"/>
              <w:end w:w="110" w:type="dxa"/>
            </w:tcMar>
          </w:tcPr>
          <w:p>
            <w:r>
              <w:rPr>
                <w:b/>
              </w:rPr>
              <w:t>1</w:t>
            </w:r>
          </w:p>
        </w:tc>
        <w:tc>
          <w:tcPr>
            <w:tcW w:type="dxa" w:w="3312"/>
            <w:tcMar>
              <w:top w:w="100" w:type="dxa"/>
              <w:start w:w="110" w:type="dxa"/>
              <w:bottom w:w="100" w:type="dxa"/>
              <w:end w:w="110" w:type="dxa"/>
            </w:tcMar>
          </w:tcPr>
          <w:p>
            <w:r>
              <w:t>Customize and approve core course, workbook, disclaimer, and CTA.</w:t>
            </w:r>
          </w:p>
        </w:tc>
        <w:tc>
          <w:tcPr>
            <w:tcW w:type="dxa" w:w="3312"/>
            <w:tcMar>
              <w:top w:w="100" w:type="dxa"/>
              <w:start w:w="110" w:type="dxa"/>
              <w:bottom w:w="100" w:type="dxa"/>
              <w:end w:w="110" w:type="dxa"/>
            </w:tcMar>
          </w:tcPr>
          <w:p>
            <w:r>
              <w:t>Internal team plus 3–5 trusted customers.</w:t>
            </w:r>
          </w:p>
        </w:tc>
      </w:tr>
      <w:tr>
        <w:tc>
          <w:tcPr>
            <w:tcW w:type="dxa" w:w="3312"/>
            <w:tcMar>
              <w:top w:w="100" w:type="dxa"/>
              <w:start w:w="110" w:type="dxa"/>
              <w:bottom w:w="100" w:type="dxa"/>
              <w:end w:w="110" w:type="dxa"/>
            </w:tcMar>
            <w:shd w:fill="EEF3F6"/>
          </w:tcPr>
          <w:p>
            <w:r>
              <w:rPr>
                <w:b/>
              </w:rPr>
              <w:t>2</w:t>
            </w:r>
          </w:p>
        </w:tc>
        <w:tc>
          <w:tcPr>
            <w:tcW w:type="dxa" w:w="3312"/>
            <w:tcMar>
              <w:top w:w="100" w:type="dxa"/>
              <w:start w:w="110" w:type="dxa"/>
              <w:bottom w:w="100" w:type="dxa"/>
              <w:end w:w="110" w:type="dxa"/>
            </w:tcMar>
            <w:shd w:fill="EEF3F6"/>
          </w:tcPr>
          <w:p>
            <w:r>
              <w:t>Publish TEAM page and agent download files. Configure GA4 and CRM trigger link.</w:t>
            </w:r>
          </w:p>
        </w:tc>
        <w:tc>
          <w:tcPr>
            <w:tcW w:type="dxa" w:w="3312"/>
            <w:tcMar>
              <w:top w:w="100" w:type="dxa"/>
              <w:start w:w="110" w:type="dxa"/>
              <w:bottom w:w="100" w:type="dxa"/>
              <w:end w:w="110" w:type="dxa"/>
            </w:tcMar>
            <w:shd w:fill="EEF3F6"/>
          </w:tcPr>
          <w:p>
            <w:r>
              <w:t>Test every device, button, tag, and workflow.</w:t>
            </w:r>
          </w:p>
        </w:tc>
      </w:tr>
      <w:tr>
        <w:tc>
          <w:tcPr>
            <w:tcW w:type="dxa" w:w="3312"/>
            <w:tcMar>
              <w:top w:w="100" w:type="dxa"/>
              <w:start w:w="110" w:type="dxa"/>
              <w:bottom w:w="100" w:type="dxa"/>
              <w:end w:w="110" w:type="dxa"/>
            </w:tcMar>
          </w:tcPr>
          <w:p>
            <w:r>
              <w:rPr>
                <w:b/>
              </w:rPr>
              <w:t>3</w:t>
            </w:r>
          </w:p>
        </w:tc>
        <w:tc>
          <w:tcPr>
            <w:tcW w:type="dxa" w:w="3312"/>
            <w:tcMar>
              <w:top w:w="100" w:type="dxa"/>
              <w:start w:w="110" w:type="dxa"/>
              <w:bottom w:w="100" w:type="dxa"/>
              <w:end w:w="110" w:type="dxa"/>
            </w:tcMar>
          </w:tcPr>
          <w:p>
            <w:r>
              <w:t>Send first 25–100 adult customer households or agent prospects.</w:t>
            </w:r>
          </w:p>
        </w:tc>
        <w:tc>
          <w:tcPr>
            <w:tcW w:type="dxa" w:w="3312"/>
            <w:tcMar>
              <w:top w:w="100" w:type="dxa"/>
              <w:start w:w="110" w:type="dxa"/>
              <w:bottom w:w="100" w:type="dxa"/>
              <w:end w:w="110" w:type="dxa"/>
            </w:tcMar>
          </w:tcPr>
          <w:p>
            <w:r>
              <w:t>Review clicks, downloads, replies, and questions.</w:t>
            </w:r>
          </w:p>
        </w:tc>
      </w:tr>
      <w:tr>
        <w:tc>
          <w:tcPr>
            <w:tcW w:type="dxa" w:w="3312"/>
            <w:tcMar>
              <w:top w:w="100" w:type="dxa"/>
              <w:start w:w="110" w:type="dxa"/>
              <w:bottom w:w="100" w:type="dxa"/>
              <w:end w:w="110" w:type="dxa"/>
            </w:tcMar>
            <w:shd w:fill="EEF3F6"/>
          </w:tcPr>
          <w:p>
            <w:r>
              <w:rPr>
                <w:b/>
              </w:rPr>
              <w:t>4</w:t>
            </w:r>
          </w:p>
        </w:tc>
        <w:tc>
          <w:tcPr>
            <w:tcW w:type="dxa" w:w="3312"/>
            <w:tcMar>
              <w:top w:w="100" w:type="dxa"/>
              <w:start w:w="110" w:type="dxa"/>
              <w:bottom w:w="100" w:type="dxa"/>
              <w:end w:w="110" w:type="dxa"/>
            </w:tcMar>
            <w:shd w:fill="EEF3F6"/>
          </w:tcPr>
          <w:p>
            <w:r>
              <w:t>Fix confusing language. Publish broader email and social campaign.</w:t>
            </w:r>
          </w:p>
        </w:tc>
        <w:tc>
          <w:tcPr>
            <w:tcW w:type="dxa" w:w="3312"/>
            <w:tcMar>
              <w:top w:w="100" w:type="dxa"/>
              <w:start w:w="110" w:type="dxa"/>
              <w:bottom w:w="100" w:type="dxa"/>
              <w:end w:w="110" w:type="dxa"/>
            </w:tcMar>
            <w:shd w:fill="EEF3F6"/>
          </w:tcPr>
          <w:p>
            <w:r>
              <w:t>Choose repeat, revise, or retire decisions.</w:t>
            </w:r>
          </w:p>
        </w:tc>
      </w:tr>
    </w:tbl>
    <w:p>
      <w:pPr>
        <w:pStyle w:val="Heading2"/>
      </w:pPr>
      <w:r>
        <w:t>Stop point</w:t>
      </w:r>
    </w:p>
    <w:p>
      <w:r>
        <w:t>Once the MVP is live, stop building. Let real customers and agents reveal what needs video, state-specific addenda, or additional lessons.</w:t>
      </w:r>
    </w:p>
    <w:p>
      <w:pPr>
        <w:pStyle w:val="Heading1"/>
      </w:pPr>
      <w:r>
        <w:t>Authoritative consumer sources</w:t>
      </w:r>
    </w:p>
    <w:p>
      <w:r>
        <w:rPr>
          <w:b/>
        </w:rPr>
        <w:t xml:space="preserve">National Association of Insurance Commissioners — Consumer Insurance Resources. </w:t>
      </w:r>
      <w:r>
        <w:t>https://content.naic.org/consumer</w:t>
      </w:r>
    </w:p>
    <w:p>
      <w:r>
        <w:rPr>
          <w:b/>
        </w:rPr>
        <w:t xml:space="preserve">NAIC — Glossary of Insurance Terms. </w:t>
      </w:r>
      <w:r>
        <w:t>https://content.naic.org/glossary-insurance-terms</w:t>
      </w:r>
    </w:p>
    <w:p>
      <w:r>
        <w:rPr>
          <w:b/>
        </w:rPr>
        <w:t xml:space="preserve">NAIC — Understanding Your Homeowners or Renters Policy. </w:t>
      </w:r>
      <w:r>
        <w:t>https://content.naic.org/article/consumer-insight-understanding-your-homeowners-or-renters-policy</w:t>
      </w:r>
    </w:p>
    <w:p>
      <w:r>
        <w:rPr>
          <w:b/>
        </w:rPr>
        <w:t xml:space="preserve">NAIC — Auto Insurance Consumer Guide. </w:t>
      </w:r>
      <w:r>
        <w:t>https://content.naic.org/consumer/auto-insurance.htm</w:t>
      </w:r>
    </w:p>
    <w:p>
      <w:r>
        <w:rPr>
          <w:b/>
        </w:rPr>
        <w:t xml:space="preserve">NHTSA — Teen Driving: Parent and Caregiver Resources. </w:t>
      </w:r>
      <w:r>
        <w:t>https://www.nhtsa.gov/road-safety/teen-driving</w:t>
      </w:r>
    </w:p>
    <w:sectPr w:rsidR="00FC693F" w:rsidRPr="0006063C" w:rsidSect="00034616">
      <w:headerReference w:type="default" r:id="rId9"/>
      <w:footerReference w:type="default" r:id="rId10"/>
      <w:pgSz w:w="12240" w:h="15840"/>
      <w:pgMar w:top="1080" w:right="1152" w:bottom="1008" w:left="1152"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17386"/>
        <w:sz w:val="16"/>
      </w:rPr>
      <w:t>Agents in the Community™  |  Team Elite Agency Marketing</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17386"/>
        <w:sz w:val="16"/>
      </w:rPr>
      <w:t>INSURANCE 101 STARTER KIT — AGENT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69" w:lineRule="auto"/>
    </w:pPr>
    <w:rPr>
      <w:rFonts w:ascii="Aptos" w:hAnsi="Aptos"/>
      <w:color w:val="17212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Aptos Display" w:hAnsi="Aptos Display"/>
      <w:b/>
      <w:bCs/>
      <w:color w:val="132A44"/>
      <w:sz w:val="36"/>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w:hAnsi="Aptos"/>
      <w:b/>
      <w:bCs/>
      <w:color w:val="1E557A"/>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w:hAnsi="Aptos"/>
      <w:b/>
      <w:bCs/>
      <w:color w:val="E7674C"/>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ptos Display" w:hAnsi="Aptos Display"/>
      <w:b/>
      <w:color w:val="132A44"/>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Aptos" w:hAnsi="Aptos"/>
      <w:b w:val="0"/>
      <w:i/>
      <w:iCs/>
      <w:color w:val="617386"/>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