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24"/>
      </w:tblGrid>
      <w:tr>
        <w:trPr>
          <w:cantSplit/>
        </w:trPr>
        <w:tc>
          <w:tcPr>
            <w:tcW w:type="dxa" w:w="10454"/>
            <w:shd w:fill="111111"/>
            <w:tcMar>
              <w:top w:w="500" w:type="dxa"/>
              <w:start w:w="350" w:type="dxa"/>
              <w:bottom w:w="500" w:type="dxa"/>
              <w:end w:w="350" w:type="dxa"/>
            </w:tcMar>
          </w:tcPr>
          <w:p>
            <w:pPr>
              <w:jc w:val="center"/>
            </w:pPr>
            <w:r>
              <w:rPr>
                <w:rFonts w:ascii="Aptos Display" w:hAnsi="Aptos Display"/>
                <w:b/>
                <w:color w:val="FFFFFF"/>
                <w:sz w:val="64"/>
              </w:rPr>
              <w:t>SPONSORSHIP</w:t>
            </w:r>
          </w:p>
          <w:p>
            <w:pPr>
              <w:jc w:val="center"/>
            </w:pPr>
            <w:r>
              <w:rPr>
                <w:rFonts w:ascii="Aptos Display" w:hAnsi="Aptos Display"/>
                <w:b/>
                <w:color w:val="F26A21"/>
                <w:sz w:val="98"/>
              </w:rPr>
              <w:t>SUCKER</w:t>
            </w:r>
          </w:p>
          <w:p>
            <w:pPr>
              <w:jc w:val="center"/>
            </w:pPr>
            <w:r>
              <w:rPr>
                <w:rFonts w:ascii="Aptos Display" w:hAnsi="Aptos Display"/>
                <w:b/>
                <w:color w:val="FFFFFF"/>
                <w:sz w:val="36"/>
              </w:rPr>
              <w:t>Stop Writing Checks and Calling It Community Marketing</w:t>
            </w:r>
          </w:p>
          <w:p>
            <w:pPr>
              <w:jc w:val="center"/>
            </w:pPr>
            <w:r>
              <w:rPr>
                <w:i/>
                <w:color w:val="DDDDDD"/>
                <w:sz w:val="22"/>
              </w:rPr>
              <w:t>A fast field guide for local insurance agents who are tired of buying invisible logos.</w:t>
            </w:r>
          </w:p>
        </w:tc>
      </w:tr>
    </w:tbl>
    <w:p/>
    <w:p>
      <w:pPr>
        <w:pStyle w:val="PullQuote"/>
        <w:jc w:val="center"/>
      </w:pPr>
      <w:r>
        <w:t>A donation can be generous. A sponsorship should also have a plan.</w:t>
      </w:r>
    </w:p>
    <w:p>
      <w:pPr>
        <w:jc w:val="center"/>
      </w:pPr>
      <w:r>
        <w:rPr>
          <w:b/>
          <w:sz w:val="22"/>
        </w:rPr>
        <w:t>A free resource from Agents in the Community</w:t>
      </w:r>
    </w:p>
    <w:p>
      <w:r>
        <w:br w:type="page"/>
      </w:r>
    </w:p>
    <w:p>
      <w:pPr>
        <w:pStyle w:val="Title"/>
      </w:pPr>
      <w:r>
        <w:t>THE GREAT LOCAL SPONSORSHIP SHUFFLE</w:t>
      </w:r>
    </w:p>
    <w:p>
      <w:r>
        <w:t>A school calls. A nonprofit emails. A client asks. The Chamber sends another packet. Somebody needs a hole sponsor, a banner sponsor, a table sponsor, a jersey sponsor, or a sponsor for the sponsor reception.</w:t>
      </w:r>
    </w:p>
    <w:p>
      <w:r>
        <w:t>You say yes because you want to support the community. That part is good.</w:t>
      </w:r>
    </w:p>
    <w:p>
      <w:r>
        <w:t>Then you send a check, email a logo, and wait for “brand awareness” to happen by itself.</w:t>
      </w:r>
    </w:p>
    <w:p>
      <w:pPr>
        <w:pStyle w:val="PullQuote"/>
      </w:pPr>
      <w:r>
        <w:t>That is not a sponsorship strategy. That is logo-based philanthropy.</w:t>
      </w:r>
    </w:p>
    <w:p>
      <w:r>
        <w:t>There is nothing wrong with making a donation. Give because you care. But when the money comes from the marketing budget, it deserves a marketing plan.</w:t>
      </w:r>
    </w:p>
    <w:p>
      <w:pPr>
        <w:pStyle w:val="Heading1"/>
      </w:pPr>
      <w:r>
        <w:t>DONATION OR MARKETING INVESTMENT?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27"/>
        <w:gridCol w:w="5227"/>
      </w:tblGrid>
      <w:tr>
        <w:trPr>
          <w:cantSplit/>
        </w:trPr>
        <w:tc>
          <w:tcPr>
            <w:tcW w:type="dxa" w:w="5227"/>
            <w:shd w:fill="111111"/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A DONATION</w:t>
            </w:r>
          </w:p>
        </w:tc>
        <w:tc>
          <w:tcPr>
            <w:tcW w:type="dxa" w:w="5227"/>
            <w:shd w:fill="F26A21"/>
            <w:vAlign w:val="center"/>
          </w:tcPr>
          <w:p>
            <w:pPr>
              <w:jc w:val="center"/>
            </w:pPr>
            <w:r>
              <w:rPr>
                <w:b/>
                <w:color w:val="FFFFFF"/>
              </w:rPr>
              <w:t>A SPONSORSHIP</w:t>
            </w:r>
          </w:p>
        </w:tc>
      </w:tr>
      <w:tr>
        <w:trPr>
          <w:cantSplit/>
        </w:trPr>
        <w:tc>
          <w:tcPr>
            <w:tcW w:type="dxa" w:w="5227"/>
            <w:shd w:fill="F7F2E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Supports a cause you believe in</w:t>
            </w:r>
          </w:p>
        </w:tc>
        <w:tc>
          <w:tcPr>
            <w:tcW w:type="dxa" w:w="5227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Supports the cause and creates a business opportunity</w:t>
            </w:r>
          </w:p>
        </w:tc>
      </w:tr>
      <w:tr>
        <w:trPr>
          <w:cantSplit/>
        </w:trPr>
        <w:tc>
          <w:tcPr>
            <w:tcW w:type="dxa" w:w="5227"/>
            <w:shd w:fill="F7F2E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Success is helping</w:t>
            </w:r>
          </w:p>
        </w:tc>
        <w:tc>
          <w:tcPr>
            <w:tcW w:type="dxa" w:w="5227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Success includes visibility, interaction, relationships, content, and follow-up</w:t>
            </w:r>
          </w:p>
        </w:tc>
      </w:tr>
      <w:tr>
        <w:trPr>
          <w:cantSplit/>
        </w:trPr>
        <w:tc>
          <w:tcPr>
            <w:tcW w:type="dxa" w:w="5227"/>
            <w:shd w:fill="F7F2E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No return required</w:t>
            </w:r>
          </w:p>
        </w:tc>
        <w:tc>
          <w:tcPr>
            <w:tcW w:type="dxa" w:w="5227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A reasonable return should be defined</w:t>
            </w:r>
          </w:p>
        </w:tc>
      </w:tr>
      <w:tr>
        <w:trPr>
          <w:cantSplit/>
        </w:trPr>
        <w:tc>
          <w:tcPr>
            <w:tcW w:type="dxa" w:w="5227"/>
            <w:shd w:fill="F7F2E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A thank-you is enough</w:t>
            </w:r>
          </w:p>
        </w:tc>
        <w:tc>
          <w:tcPr>
            <w:tcW w:type="dxa" w:w="5227"/>
            <w:shd w:fill="FFFFFF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t>Activation is required</w:t>
            </w:r>
          </w:p>
        </w:tc>
      </w:tr>
    </w:tbl>
    <w:p>
      <w:r>
        <w:t>Call it what it is. That one decision will save you from expecting marketing results from a charitable gift - or pretending a sponsorship worked because your logo appeared somewhere near the potato salad.</w:t>
      </w:r>
    </w:p>
    <w:p>
      <w:r>
        <w:br w:type="page"/>
      </w:r>
    </w:p>
    <w:p>
      <w:pPr>
        <w:pStyle w:val="Title"/>
      </w:pPr>
      <w:r>
        <w:t>THE FIVE QUESTIONS BEFORE YOU SAY YES</w:t>
      </w:r>
    </w:p>
    <w:p>
      <w:pPr>
        <w:pStyle w:val="Heading2"/>
      </w:pPr>
      <w:r>
        <w:t>1. WHO WILL ACTUALLY BE THERE?</w:t>
      </w:r>
    </w:p>
    <w:p>
      <w:r>
        <w:t>Not “the community.” Which people? Parents? Business owners? Teachers? Drivers? Homeowners? Young families? Your ideal audience should be present in meaningful numbers.</w:t>
      </w:r>
    </w:p>
    <w:p>
      <w:pPr>
        <w:pStyle w:val="Heading2"/>
      </w:pPr>
      <w:r>
        <w:t>2. WHAT DO WE ACTUALLY GET?</w:t>
      </w:r>
    </w:p>
    <w:p>
      <w:r>
        <w:t>A logo is not a complete benefit package. Ask about booth space, announcements, tickets, attendee communication, social posts, email recognition, speaking opportunities, photos, introductions, and category exclusivity.</w:t>
      </w:r>
    </w:p>
    <w:p>
      <w:pPr>
        <w:pStyle w:val="Heading2"/>
      </w:pPr>
      <w:r>
        <w:t>3. HOW CAN WE PARTICIPATE?</w:t>
      </w:r>
    </w:p>
    <w:p>
      <w:r>
        <w:t>The best sponsorships let your agency do something useful: volunteer, teach, host, judge, present, collect donations, run an activity, recognize participants, or solve a small problem.</w:t>
      </w:r>
    </w:p>
    <w:p>
      <w:pPr>
        <w:pStyle w:val="Heading2"/>
      </w:pPr>
      <w:r>
        <w:t>4. CAN WE EXTEND IT BEYOND EVENT DAY?</w:t>
      </w:r>
    </w:p>
    <w:p>
      <w:r>
        <w:t>Look for stories, photos, partner content, employee involvement, customer invitations, follow-up resources, and future relationships. One event should create more than one day of value.</w:t>
      </w:r>
    </w:p>
    <w:p>
      <w:pPr>
        <w:pStyle w:val="Heading2"/>
      </w:pPr>
      <w:r>
        <w:t>5. WHAT DOES SUCCESS LOOK LIKE?</w:t>
      </w:r>
    </w:p>
    <w:p>
      <w:r>
        <w:t>Choose a simple objective before you pay: relationships created, conversations, qualified contacts, content captured, partner introductions, appointments, referrals, community visibility, or renewal potential.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rPr>
          <w:cantSplit/>
        </w:trPr>
        <w:tc>
          <w:tcPr>
            <w:tcW w:type="dxa" w:w="10454"/>
            <w:shd w:fill="F7F2E8"/>
            <w:tcMar>
              <w:top w:w="180" w:type="dxa"/>
              <w:start w:w="220" w:type="dxa"/>
              <w:bottom w:w="180" w:type="dxa"/>
              <w:end w:w="220" w:type="dxa"/>
            </w:tcMar>
          </w:tcPr>
          <w:p>
            <w:r>
              <w:rPr>
                <w:b/>
                <w:color w:val="F26A21"/>
              </w:rPr>
              <w:t xml:space="preserve">THE FAST NO: </w:t>
            </w:r>
            <w:r>
              <w:t>If the audience is wrong, the benefits are vague, and participation is impossible, politely decline. Your marketing budget is not a community ATM.</w:t>
            </w:r>
          </w:p>
        </w:tc>
      </w:tr>
    </w:tbl>
    <w:p>
      <w:r>
        <w:br w:type="page"/>
      </w:r>
    </w:p>
    <w:p>
      <w:pPr>
        <w:pStyle w:val="Title"/>
      </w:pPr>
      <w:r>
        <w:t>ACTIVATE IT OR WASTE IT</w:t>
      </w:r>
    </w:p>
    <w:p>
      <w:r>
        <w:t>A sponsorship becomes valuable when the agency does something with it. Use this simple three-part activation plan.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44"/>
        <w:gridCol w:w="8136"/>
      </w:tblGrid>
      <w:tr>
        <w:trPr>
          <w:cantSplit/>
        </w:trPr>
        <w:tc>
          <w:tcPr>
            <w:tcW w:type="dxa" w:w="5227"/>
            <w:shd w:fill="111111"/>
            <w:tcMar>
              <w:top w:w="160" w:type="dxa"/>
              <w:start w:w="140" w:type="dxa"/>
              <w:bottom w:w="160" w:type="dxa"/>
              <w:end w:w="140" w:type="dxa"/>
            </w:tcMar>
          </w:tcPr>
          <w:p>
            <w:pPr>
              <w:jc w:val="center"/>
            </w:pPr>
            <w:r>
              <w:rPr>
                <w:b/>
                <w:color w:val="F26A21"/>
                <w:sz w:val="32"/>
              </w:rPr>
              <w:t>BEFORE</w:t>
            </w:r>
          </w:p>
        </w:tc>
        <w:tc>
          <w:tcPr>
            <w:tcW w:type="dxa" w:w="5227"/>
            <w:shd w:fill="EFEFEF"/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r>
              <w:rPr>
                <w:b/>
                <w:sz w:val="24"/>
              </w:rPr>
              <w:t>Create anticipation</w:t>
            </w:r>
          </w:p>
          <w:p>
            <w:pPr>
              <w:spacing w:after="20"/>
              <w:ind w:left="144"/>
            </w:pPr>
            <w:r>
              <w:t>• Announce why you are involved</w:t>
            </w:r>
          </w:p>
          <w:p>
            <w:pPr>
              <w:spacing w:after="20"/>
              <w:ind w:left="144"/>
            </w:pPr>
            <w:r>
              <w:t>• Invite customers, prospects, and partners</w:t>
            </w:r>
          </w:p>
          <w:p>
            <w:pPr>
              <w:spacing w:after="20"/>
              <w:ind w:left="144"/>
            </w:pPr>
            <w:r>
              <w:t>• Recognize the organization and its mission</w:t>
            </w:r>
          </w:p>
          <w:p>
            <w:pPr>
              <w:spacing w:after="20"/>
              <w:ind w:left="144"/>
            </w:pPr>
            <w:r>
              <w:t>• Prepare your booth, activity, giveaway, or resource</w:t>
            </w:r>
          </w:p>
          <w:p>
            <w:pPr>
              <w:spacing w:after="20"/>
              <w:ind w:left="144"/>
            </w:pPr>
            <w:r>
              <w:t>• Assign staff roles and a follow-up owner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44"/>
        <w:gridCol w:w="8136"/>
      </w:tblGrid>
      <w:tr>
        <w:trPr>
          <w:cantSplit/>
        </w:trPr>
        <w:tc>
          <w:tcPr>
            <w:tcW w:type="dxa" w:w="5227"/>
            <w:shd w:fill="111111"/>
            <w:tcMar>
              <w:top w:w="160" w:type="dxa"/>
              <w:start w:w="140" w:type="dxa"/>
              <w:bottom w:w="160" w:type="dxa"/>
              <w:end w:w="140" w:type="dxa"/>
            </w:tcMar>
          </w:tcPr>
          <w:p>
            <w:pPr>
              <w:jc w:val="center"/>
            </w:pPr>
            <w:r>
              <w:rPr>
                <w:b/>
                <w:color w:val="F26A21"/>
                <w:sz w:val="32"/>
              </w:rPr>
              <w:t>DURING</w:t>
            </w:r>
          </w:p>
        </w:tc>
        <w:tc>
          <w:tcPr>
            <w:tcW w:type="dxa" w:w="5227"/>
            <w:shd w:fill="EFEFEF"/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r>
              <w:rPr>
                <w:b/>
                <w:sz w:val="24"/>
              </w:rPr>
              <w:t>Be visible and useful</w:t>
            </w:r>
          </w:p>
          <w:p>
            <w:pPr>
              <w:spacing w:after="20"/>
              <w:ind w:left="144"/>
            </w:pPr>
            <w:r>
              <w:t>• Show up early and help</w:t>
            </w:r>
          </w:p>
          <w:p>
            <w:pPr>
              <w:spacing w:after="20"/>
              <w:ind w:left="144"/>
            </w:pPr>
            <w:r>
              <w:t>• Stand where conversations happen</w:t>
            </w:r>
          </w:p>
          <w:p>
            <w:pPr>
              <w:spacing w:after="20"/>
              <w:ind w:left="144"/>
            </w:pPr>
            <w:r>
              <w:t>• Take appropriate photos and short videos</w:t>
            </w:r>
          </w:p>
          <w:p>
            <w:pPr>
              <w:spacing w:after="20"/>
              <w:ind w:left="144"/>
            </w:pPr>
            <w:r>
              <w:t>• Introduce yourself to organizers and other sponsors</w:t>
            </w:r>
          </w:p>
          <w:p>
            <w:pPr>
              <w:spacing w:after="20"/>
              <w:ind w:left="144"/>
            </w:pPr>
            <w:r>
              <w:t>• Collect contacts only when there is a clear reason</w:t>
            </w:r>
          </w:p>
          <w:p>
            <w:pPr>
              <w:spacing w:after="20"/>
              <w:ind w:left="144"/>
            </w:pPr>
            <w:r>
              <w:t>• Avoid turning a charity event into a quote ambush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44"/>
        <w:gridCol w:w="8136"/>
      </w:tblGrid>
      <w:tr>
        <w:trPr>
          <w:cantSplit/>
        </w:trPr>
        <w:tc>
          <w:tcPr>
            <w:tcW w:type="dxa" w:w="5227"/>
            <w:shd w:fill="111111"/>
            <w:tcMar>
              <w:top w:w="160" w:type="dxa"/>
              <w:start w:w="140" w:type="dxa"/>
              <w:bottom w:w="160" w:type="dxa"/>
              <w:end w:w="140" w:type="dxa"/>
            </w:tcMar>
          </w:tcPr>
          <w:p>
            <w:pPr>
              <w:jc w:val="center"/>
            </w:pPr>
            <w:r>
              <w:rPr>
                <w:b/>
                <w:color w:val="F26A21"/>
                <w:sz w:val="32"/>
              </w:rPr>
              <w:t>AFTER</w:t>
            </w:r>
          </w:p>
        </w:tc>
        <w:tc>
          <w:tcPr>
            <w:tcW w:type="dxa" w:w="5227"/>
            <w:shd w:fill="EFEFEF"/>
            <w:tcMar>
              <w:top w:w="120" w:type="dxa"/>
              <w:start w:w="180" w:type="dxa"/>
              <w:bottom w:w="120" w:type="dxa"/>
              <w:end w:w="180" w:type="dxa"/>
            </w:tcMar>
          </w:tcPr>
          <w:p>
            <w:r>
              <w:rPr>
                <w:b/>
                <w:sz w:val="24"/>
              </w:rPr>
              <w:t>Turn participation into momentum</w:t>
            </w:r>
          </w:p>
          <w:p>
            <w:pPr>
              <w:spacing w:after="20"/>
              <w:ind w:left="144"/>
            </w:pPr>
            <w:r>
              <w:t>• Thank the organization publicly and privately</w:t>
            </w:r>
          </w:p>
          <w:p>
            <w:pPr>
              <w:spacing w:after="20"/>
              <w:ind w:left="144"/>
            </w:pPr>
            <w:r>
              <w:t>• Share photos and recognize people, not just your logo</w:t>
            </w:r>
          </w:p>
          <w:p>
            <w:pPr>
              <w:spacing w:after="20"/>
              <w:ind w:left="144"/>
            </w:pPr>
            <w:r>
              <w:t>• Follow up with permission-based contacts promptly</w:t>
            </w:r>
          </w:p>
          <w:p>
            <w:pPr>
              <w:spacing w:after="20"/>
              <w:ind w:left="144"/>
            </w:pPr>
            <w:r>
              <w:t>• Connect with new partners</w:t>
            </w:r>
          </w:p>
          <w:p>
            <w:pPr>
              <w:spacing w:after="20"/>
              <w:ind w:left="144"/>
            </w:pPr>
            <w:r>
              <w:t>• Record results, costs, lessons, and next steps</w:t>
            </w:r>
          </w:p>
          <w:p>
            <w:pPr>
              <w:spacing w:after="20"/>
              <w:ind w:left="144"/>
            </w:pPr>
            <w:r>
              <w:t>• Decide whether to renew, improve, or walk away</w:t>
            </w:r>
          </w:p>
        </w:tc>
      </w:tr>
    </w:tbl>
    <w:p/>
    <w:p>
      <w:pPr>
        <w:pStyle w:val="PullQuote"/>
        <w:jc w:val="center"/>
      </w:pPr>
      <w:r>
        <w:t>Attention without activation is just an expensive logo sighting.</w:t>
      </w:r>
    </w:p>
    <w:p>
      <w:r>
        <w:br w:type="page"/>
      </w:r>
    </w:p>
    <w:p>
      <w:pPr>
        <w:pStyle w:val="Title"/>
      </w:pPr>
      <w:r>
        <w:t>THE SPONSORSHIP SUCKER SCORECARD</w:t>
      </w:r>
    </w:p>
    <w:p>
      <w:r>
        <w:t>Score each category from 0 to 2 before committing money.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rPr>
          <w:cantSplit/>
        </w:trPr>
        <w:tc>
          <w:tcPr>
            <w:tcW w:type="dxa" w:w="2613"/>
            <w:shd w:fill="111111"/>
          </w:tcPr>
          <w:p>
            <w:pPr>
              <w:jc w:val="center"/>
            </w:pPr>
            <w:r>
              <w:rPr>
                <w:b/>
                <w:color w:val="FFFFFF"/>
              </w:rPr>
              <w:t>CATEGORY</w:t>
            </w:r>
          </w:p>
        </w:tc>
        <w:tc>
          <w:tcPr>
            <w:tcW w:type="dxa" w:w="2613"/>
            <w:shd w:fill="111111"/>
          </w:tcPr>
          <w:p>
            <w:pPr>
              <w:jc w:val="center"/>
            </w:pPr>
            <w:r>
              <w:rPr>
                <w:b/>
                <w:color w:val="FFFFFF"/>
              </w:rPr>
              <w:t>0</w:t>
            </w:r>
          </w:p>
        </w:tc>
        <w:tc>
          <w:tcPr>
            <w:tcW w:type="dxa" w:w="2613"/>
            <w:shd w:fill="111111"/>
          </w:tcPr>
          <w:p>
            <w:pPr>
              <w:jc w:val="center"/>
            </w:pPr>
            <w:r>
              <w:rPr>
                <w:b/>
                <w:color w:val="FFFFFF"/>
              </w:rPr>
              <w:t>1</w:t>
            </w:r>
          </w:p>
        </w:tc>
        <w:tc>
          <w:tcPr>
            <w:tcW w:type="dxa" w:w="2613"/>
            <w:shd w:fill="111111"/>
          </w:tcPr>
          <w:p>
            <w:pPr>
              <w:jc w:val="center"/>
            </w:pPr>
            <w:r>
              <w:rPr>
                <w:b/>
                <w:color w:val="FFFFFF"/>
              </w:rPr>
              <w:t>2</w:t>
            </w:r>
          </w:p>
        </w:tc>
      </w:tr>
      <w:tr>
        <w:trPr>
          <w:cantSplit/>
        </w:trPr>
        <w:tc>
          <w:tcPr>
            <w:tcW w:type="dxa" w:w="2613"/>
            <w:tcMar>
              <w:top w:w="75" w:type="dxa"/>
              <w:start w:w="75" w:type="dxa"/>
              <w:bottom w:w="75" w:type="dxa"/>
              <w:end w:w="75" w:type="dxa"/>
            </w:tcMar>
            <w:shd w:fill="F7F2E8"/>
          </w:tcPr>
          <w:p>
            <w:r>
              <w:rPr>
                <w:b/>
              </w:rPr>
              <w:t>Audience fit</w:t>
            </w:r>
          </w:p>
        </w:tc>
        <w:tc>
          <w:tcPr>
            <w:tcW w:type="dxa" w:w="2613"/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r>
              <w:t>Poor</w:t>
            </w:r>
          </w:p>
        </w:tc>
        <w:tc>
          <w:tcPr>
            <w:tcW w:type="dxa" w:w="2613"/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r>
              <w:t>Mixed</w:t>
            </w:r>
          </w:p>
        </w:tc>
        <w:tc>
          <w:tcPr>
            <w:tcW w:type="dxa" w:w="2613"/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r>
              <w:t>Strong</w:t>
            </w:r>
          </w:p>
        </w:tc>
      </w:tr>
      <w:tr>
        <w:trPr>
          <w:cantSplit/>
        </w:trPr>
        <w:tc>
          <w:tcPr>
            <w:tcW w:type="dxa" w:w="2613"/>
            <w:tcMar>
              <w:top w:w="75" w:type="dxa"/>
              <w:start w:w="75" w:type="dxa"/>
              <w:bottom w:w="75" w:type="dxa"/>
              <w:end w:w="75" w:type="dxa"/>
            </w:tcMar>
            <w:shd w:fill="F7F2E8"/>
          </w:tcPr>
          <w:p>
            <w:r>
              <w:rPr>
                <w:b/>
              </w:rPr>
              <w:t>Participation</w:t>
            </w:r>
          </w:p>
        </w:tc>
        <w:tc>
          <w:tcPr>
            <w:tcW w:type="dxa" w:w="2613"/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r>
              <w:t>Logo only</w:t>
            </w:r>
          </w:p>
        </w:tc>
        <w:tc>
          <w:tcPr>
            <w:tcW w:type="dxa" w:w="2613"/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r>
              <w:t>Limited</w:t>
            </w:r>
          </w:p>
        </w:tc>
        <w:tc>
          <w:tcPr>
            <w:tcW w:type="dxa" w:w="2613"/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r>
              <w:t>Active role</w:t>
            </w:r>
          </w:p>
        </w:tc>
      </w:tr>
      <w:tr>
        <w:trPr>
          <w:cantSplit/>
        </w:trPr>
        <w:tc>
          <w:tcPr>
            <w:tcW w:type="dxa" w:w="2613"/>
            <w:tcMar>
              <w:top w:w="75" w:type="dxa"/>
              <w:start w:w="75" w:type="dxa"/>
              <w:bottom w:w="75" w:type="dxa"/>
              <w:end w:w="75" w:type="dxa"/>
            </w:tcMar>
            <w:shd w:fill="F7F2E8"/>
          </w:tcPr>
          <w:p>
            <w:r>
              <w:rPr>
                <w:b/>
              </w:rPr>
              <w:t>Visibility</w:t>
            </w:r>
          </w:p>
        </w:tc>
        <w:tc>
          <w:tcPr>
            <w:tcW w:type="dxa" w:w="2613"/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r>
              <w:t>Vague</w:t>
            </w:r>
          </w:p>
        </w:tc>
        <w:tc>
          <w:tcPr>
            <w:tcW w:type="dxa" w:w="2613"/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r>
              <w:t>Some</w:t>
            </w:r>
          </w:p>
        </w:tc>
        <w:tc>
          <w:tcPr>
            <w:tcW w:type="dxa" w:w="2613"/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r>
              <w:t>Clear and repeated</w:t>
            </w:r>
          </w:p>
        </w:tc>
      </w:tr>
      <w:tr>
        <w:trPr>
          <w:cantSplit/>
        </w:trPr>
        <w:tc>
          <w:tcPr>
            <w:tcW w:type="dxa" w:w="2613"/>
            <w:tcMar>
              <w:top w:w="75" w:type="dxa"/>
              <w:start w:w="75" w:type="dxa"/>
              <w:bottom w:w="75" w:type="dxa"/>
              <w:end w:w="75" w:type="dxa"/>
            </w:tcMar>
            <w:shd w:fill="F7F2E8"/>
          </w:tcPr>
          <w:p>
            <w:r>
              <w:rPr>
                <w:b/>
              </w:rPr>
              <w:t>Relationship value</w:t>
            </w:r>
          </w:p>
        </w:tc>
        <w:tc>
          <w:tcPr>
            <w:tcW w:type="dxa" w:w="2613"/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r>
              <w:t>None</w:t>
            </w:r>
          </w:p>
        </w:tc>
        <w:tc>
          <w:tcPr>
            <w:tcW w:type="dxa" w:w="2613"/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r>
              <w:t>Possible</w:t>
            </w:r>
          </w:p>
        </w:tc>
        <w:tc>
          <w:tcPr>
            <w:tcW w:type="dxa" w:w="2613"/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r>
              <w:t>Strong</w:t>
            </w:r>
          </w:p>
        </w:tc>
      </w:tr>
      <w:tr>
        <w:trPr>
          <w:cantSplit/>
        </w:trPr>
        <w:tc>
          <w:tcPr>
            <w:tcW w:type="dxa" w:w="2613"/>
            <w:tcMar>
              <w:top w:w="75" w:type="dxa"/>
              <w:start w:w="75" w:type="dxa"/>
              <w:bottom w:w="75" w:type="dxa"/>
              <w:end w:w="75" w:type="dxa"/>
            </w:tcMar>
            <w:shd w:fill="F7F2E8"/>
          </w:tcPr>
          <w:p>
            <w:r>
              <w:rPr>
                <w:b/>
              </w:rPr>
              <w:t>Content potential</w:t>
            </w:r>
          </w:p>
        </w:tc>
        <w:tc>
          <w:tcPr>
            <w:tcW w:type="dxa" w:w="2613"/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r>
              <w:t>None</w:t>
            </w:r>
          </w:p>
        </w:tc>
        <w:tc>
          <w:tcPr>
            <w:tcW w:type="dxa" w:w="2613"/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r>
              <w:t>A few moments</w:t>
            </w:r>
          </w:p>
        </w:tc>
        <w:tc>
          <w:tcPr>
            <w:tcW w:type="dxa" w:w="2613"/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r>
              <w:t>Multiple stories</w:t>
            </w:r>
          </w:p>
        </w:tc>
      </w:tr>
      <w:tr>
        <w:trPr>
          <w:cantSplit/>
        </w:trPr>
        <w:tc>
          <w:tcPr>
            <w:tcW w:type="dxa" w:w="2613"/>
            <w:tcMar>
              <w:top w:w="75" w:type="dxa"/>
              <w:start w:w="75" w:type="dxa"/>
              <w:bottom w:w="75" w:type="dxa"/>
              <w:end w:w="75" w:type="dxa"/>
            </w:tcMar>
            <w:shd w:fill="F7F2E8"/>
          </w:tcPr>
          <w:p>
            <w:r>
              <w:rPr>
                <w:b/>
              </w:rPr>
              <w:t>Follow-up opportunity</w:t>
            </w:r>
          </w:p>
        </w:tc>
        <w:tc>
          <w:tcPr>
            <w:tcW w:type="dxa" w:w="2613"/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r>
              <w:t>None</w:t>
            </w:r>
          </w:p>
        </w:tc>
        <w:tc>
          <w:tcPr>
            <w:tcW w:type="dxa" w:w="2613"/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r>
              <w:t>Indirect</w:t>
            </w:r>
          </w:p>
        </w:tc>
        <w:tc>
          <w:tcPr>
            <w:tcW w:type="dxa" w:w="2613"/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r>
              <w:t>Clear and appropriate</w:t>
            </w:r>
          </w:p>
        </w:tc>
      </w:tr>
      <w:tr>
        <w:trPr>
          <w:cantSplit/>
        </w:trPr>
        <w:tc>
          <w:tcPr>
            <w:tcW w:type="dxa" w:w="2613"/>
            <w:tcMar>
              <w:top w:w="75" w:type="dxa"/>
              <w:start w:w="75" w:type="dxa"/>
              <w:bottom w:w="75" w:type="dxa"/>
              <w:end w:w="75" w:type="dxa"/>
            </w:tcMar>
            <w:shd w:fill="F7F2E8"/>
          </w:tcPr>
          <w:p>
            <w:r>
              <w:rPr>
                <w:b/>
              </w:rPr>
              <w:t>Cost value</w:t>
            </w:r>
          </w:p>
        </w:tc>
        <w:tc>
          <w:tcPr>
            <w:tcW w:type="dxa" w:w="2613"/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r>
              <w:t>Weak</w:t>
            </w:r>
          </w:p>
        </w:tc>
        <w:tc>
          <w:tcPr>
            <w:tcW w:type="dxa" w:w="2613"/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r>
              <w:t>Fair</w:t>
            </w:r>
          </w:p>
        </w:tc>
        <w:tc>
          <w:tcPr>
            <w:tcW w:type="dxa" w:w="2613"/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r>
              <w:t>Strong</w:t>
            </w:r>
          </w:p>
        </w:tc>
      </w:tr>
      <w:tr>
        <w:trPr>
          <w:cantSplit/>
        </w:trPr>
        <w:tc>
          <w:tcPr>
            <w:tcW w:type="dxa" w:w="2613"/>
            <w:tcMar>
              <w:top w:w="75" w:type="dxa"/>
              <w:start w:w="75" w:type="dxa"/>
              <w:bottom w:w="75" w:type="dxa"/>
              <w:end w:w="75" w:type="dxa"/>
            </w:tcMar>
            <w:shd w:fill="F7F2E8"/>
          </w:tcPr>
          <w:p>
            <w:r>
              <w:rPr>
                <w:b/>
              </w:rPr>
              <w:t>Long-term potential</w:t>
            </w:r>
          </w:p>
        </w:tc>
        <w:tc>
          <w:tcPr>
            <w:tcW w:type="dxa" w:w="2613"/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r>
              <w:t>One-and-done</w:t>
            </w:r>
          </w:p>
        </w:tc>
        <w:tc>
          <w:tcPr>
            <w:tcW w:type="dxa" w:w="2613"/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r>
              <w:t>Uncertain</w:t>
            </w:r>
          </w:p>
        </w:tc>
        <w:tc>
          <w:tcPr>
            <w:tcW w:type="dxa" w:w="2613"/>
            <w:tcMar>
              <w:top w:w="75" w:type="dxa"/>
              <w:start w:w="75" w:type="dxa"/>
              <w:bottom w:w="75" w:type="dxa"/>
              <w:end w:w="75" w:type="dxa"/>
            </w:tcMar>
          </w:tcPr>
          <w:p>
            <w:r>
              <w:t>Repeatable partnership</w:t>
            </w:r>
          </w:p>
        </w:tc>
      </w:tr>
    </w:tbl>
    <w:p>
      <w:r>
        <w:rPr>
          <w:b/>
          <w:color w:val="F26A21"/>
          <w:sz w:val="28"/>
        </w:rPr>
        <w:t>YOUR SCORE: ____ / 16</w:t>
      </w:r>
    </w:p>
    <w:p>
      <w:r>
        <w:rPr>
          <w:b/>
        </w:rPr>
        <w:t xml:space="preserve">13-16: STRONG OPPORTUNITY - </w:t>
      </w:r>
      <w:r>
        <w:t>Build an activation plan and negotiate the best package.</w:t>
      </w:r>
    </w:p>
    <w:p>
      <w:r>
        <w:rPr>
          <w:b/>
        </w:rPr>
        <w:t xml:space="preserve">9-12: MAYBE - </w:t>
      </w:r>
      <w:r>
        <w:t>Improve the benefits, participation, or cost before saying yes.</w:t>
      </w:r>
    </w:p>
    <w:p>
      <w:r>
        <w:rPr>
          <w:b/>
        </w:rPr>
        <w:t xml:space="preserve">5-8: DONATION TERRITORY - </w:t>
      </w:r>
      <w:r>
        <w:t>Support it personally if you care, but stop pretending it is a strong marketing buy.</w:t>
      </w:r>
    </w:p>
    <w:p>
      <w:r>
        <w:rPr>
          <w:b/>
        </w:rPr>
        <w:t xml:space="preserve">0-4: SPONSORSHIP SUCKER ALERT - </w:t>
      </w:r>
      <w:r>
        <w:t>Smile, decline, and protect the budget.</w:t>
      </w:r>
    </w:p>
    <w:p>
      <w:pPr>
        <w:pStyle w:val="Heading1"/>
      </w:pPr>
      <w:r>
        <w:t>THE LOGO-ON-A-BANNER HALL OF SHAME</w:t>
      </w:r>
    </w:p>
    <w:p>
      <w:pPr>
        <w:spacing w:after="40"/>
      </w:pPr>
      <w:r>
        <w:t>☐ Your logo is printed smaller than the dessert sponsor’s logo.</w:t>
      </w:r>
    </w:p>
    <w:p>
      <w:pPr>
        <w:spacing w:after="40"/>
      </w:pPr>
      <w:r>
        <w:t>☐ The banner hangs behind a tree, food truck, or inflatable dinosaur.</w:t>
      </w:r>
    </w:p>
    <w:p>
      <w:pPr>
        <w:spacing w:after="40"/>
      </w:pPr>
      <w:r>
        <w:t>☐ Nobody from the agency attends.</w:t>
      </w:r>
    </w:p>
    <w:p>
      <w:pPr>
        <w:spacing w:after="40"/>
      </w:pPr>
      <w:r>
        <w:t>☐ The organization misspells the agency name.</w:t>
      </w:r>
    </w:p>
    <w:p>
      <w:pPr>
        <w:spacing w:after="40"/>
      </w:pPr>
      <w:r>
        <w:t>☐ You receive two tickets and send nobody because “we got busy.”</w:t>
      </w:r>
    </w:p>
    <w:p>
      <w:pPr>
        <w:spacing w:after="40"/>
      </w:pPr>
      <w:r>
        <w:t>☐ Six months later, nobody can explain why the sponsorship was purchased.</w:t>
      </w:r>
    </w:p>
    <w:p>
      <w:r>
        <w:br w:type="page"/>
      </w:r>
    </w:p>
    <w:p>
      <w:pPr>
        <w:pStyle w:val="Title"/>
      </w:pPr>
      <w:r>
        <w:t>YOUR NEXT SPONSORSHIP DOES NOT NEED MORE MONEY</w:t>
      </w:r>
    </w:p>
    <w:p>
      <w:r>
        <w:t>It needs more intention.</w:t>
      </w:r>
    </w:p>
    <w:p>
      <w:r>
        <w:t>Choose one sponsorship you already own or are considering. Before lunch is over, do three things:</w:t>
      </w:r>
    </w:p>
    <w:p>
      <w:r>
        <w:rPr>
          <w:b/>
          <w:color w:val="F26A21"/>
          <w:sz w:val="30"/>
        </w:rPr>
        <w:t xml:space="preserve">1. </w:t>
      </w:r>
      <w:r>
        <w:t>Define the audience and one business objective.</w:t>
      </w:r>
    </w:p>
    <w:p>
      <w:r>
        <w:rPr>
          <w:b/>
          <w:color w:val="F26A21"/>
          <w:sz w:val="30"/>
        </w:rPr>
        <w:t xml:space="preserve">2. </w:t>
      </w:r>
      <w:r>
        <w:t>Ask the organizer for one additional participation benefit.</w:t>
      </w:r>
    </w:p>
    <w:p>
      <w:r>
        <w:rPr>
          <w:b/>
          <w:color w:val="F26A21"/>
          <w:sz w:val="30"/>
        </w:rPr>
        <w:t xml:space="preserve">3. </w:t>
      </w:r>
      <w:r>
        <w:t>Write down what your agency will do before, during, and after.</w:t>
      </w:r>
    </w:p>
    <w:p>
      <w:pPr>
        <w:pStyle w:val="PullQuote"/>
        <w:jc w:val="center"/>
      </w:pPr>
      <w:r>
        <w:t>Stop writing checks. Start building relationships.</w:t>
      </w:r>
    </w:p>
    <w:p>
      <w:pPr>
        <w:pStyle w:val="Heading1"/>
      </w:pPr>
      <w:r>
        <w:t>THE SPONSORSHIP IS ONLY ONE PIECE</w:t>
      </w:r>
    </w:p>
    <w:p>
      <w:r>
        <w:t>Strong community marketing also requires choosing the right opportunities, building a calendar and budget, preparing your team, executing events, following up, measuring results, leveraging partners, and improving every quarter.</w:t>
      </w:r>
    </w:p>
    <w:p>
      <w:r>
        <w:t>That is what Agents in the Community OS was built to do.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454"/>
      </w:tblGrid>
      <w:tr>
        <w:trPr>
          <w:cantSplit/>
        </w:trPr>
        <w:tc>
          <w:tcPr>
            <w:tcW w:type="dxa" w:w="10454"/>
            <w:shd w:fill="F26A21"/>
            <w:tcMar>
              <w:top w:w="300" w:type="dxa"/>
              <w:start w:w="250" w:type="dxa"/>
              <w:bottom w:w="300" w:type="dxa"/>
              <w:end w:w="25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36"/>
              </w:rPr>
              <w:t>BUILD THE WHOLE COMMUNITY MARKETING SYSTEM</w:t>
            </w:r>
          </w:p>
          <w:p>
            <w:pPr>
              <w:jc w:val="center"/>
            </w:pPr>
            <w:r>
              <w:rPr>
                <w:b/>
                <w:color w:val="FFFFFF"/>
                <w:sz w:val="24"/>
              </w:rPr>
              <w:t>Explore Agents in the Community OS</w:t>
            </w:r>
          </w:p>
          <w:p>
            <w:pPr>
              <w:jc w:val="center"/>
            </w:pPr>
            <w:r>
              <w:rPr>
                <w:color w:val="FFFFFF"/>
                <w:sz w:val="20"/>
              </w:rPr>
              <w:t>[INSERT AITC OS LINK OR BUTTON]</w:t>
            </w:r>
          </w:p>
        </w:tc>
      </w:tr>
    </w:tbl>
    <w:p>
      <w:pPr>
        <w:jc w:val="center"/>
      </w:pPr>
      <w:r>
        <w:rPr>
          <w:b/>
          <w:sz w:val="26"/>
        </w:rPr>
        <w:t>SPONSORSHIP SUCKER</w:t>
      </w:r>
    </w:p>
    <w:p>
      <w:pPr>
        <w:jc w:val="center"/>
      </w:pPr>
      <w:r>
        <w:rPr>
          <w:i/>
        </w:rPr>
        <w:t>Part of the AITC Rebel Field Guide Series</w:t>
      </w:r>
    </w:p>
    <w:p>
      <w:pPr>
        <w:jc w:val="center"/>
      </w:pPr>
      <w:r>
        <w:rPr>
          <w:b/>
          <w:color w:val="F26A21"/>
          <w:sz w:val="30"/>
        </w:rPr>
        <w:t>Community Marketing Makes Insurance Cool.</w:t>
      </w:r>
    </w:p>
    <w:sectPr w:rsidR="00FC693F" w:rsidRPr="0006063C" w:rsidSect="00034616">
      <w:footerReference w:type="default" r:id="rId9"/>
      <w:pgSz w:w="12240" w:h="15840"/>
      <w:pgMar w:top="792" w:right="893" w:bottom="792" w:left="8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Small"/>
      <w:jc w:val="right"/>
    </w:pPr>
    <w:r>
      <w:t xml:space="preserve">Agents in the Community  |  Known. Trusted. Chosen. 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111111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80" w:after="12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11111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12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F26A21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80" w:after="12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11111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 w:before="80"/>
      <w:contextualSpacing/>
    </w:pPr>
    <w:rPr>
      <w:rFonts w:asciiTheme="majorHAnsi" w:eastAsiaTheme="majorEastAsia" w:hAnsiTheme="majorHAnsi" w:cstheme="majorBidi" w:ascii="Aptos Display" w:hAnsi="Aptos Display"/>
      <w:b/>
      <w:color w:val="111111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ullQuote">
    <w:name w:val="Pull Quote"/>
    <w:pPr>
      <w:spacing w:before="160" w:after="160"/>
      <w:ind w:left="360" w:right="360"/>
    </w:pPr>
    <w:rPr>
      <w:rFonts w:ascii="Aptos Display" w:hAnsi="Aptos Display"/>
      <w:b/>
      <w:color w:val="F26A21"/>
      <w:sz w:val="34"/>
    </w:rPr>
  </w:style>
  <w:style w:type="paragraph" w:customStyle="1" w:styleId="Small">
    <w:name w:val="Small"/>
    <w:rPr>
      <w:rFonts w:ascii="Aptos" w:hAnsi="Aptos"/>
      <w:color w:val="555555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