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spacing w:after="280"/>
        <w:jc w:val="center"/>
      </w:pPr>
      <w:r>
        <w:rPr>
          <w:b/>
          <w:color w:val="E7674C"/>
          <w:sz w:val="20"/>
        </w:rPr>
        <w:t>TEAM WEBSITE LAUNCH KIT</w:t>
      </w:r>
    </w:p>
    <w:p>
      <w:pPr>
        <w:pStyle w:val="Title"/>
        <w:jc w:val="center"/>
      </w:pPr>
      <w:r>
        <w:t>Insurance 101 Starter Kit</w:t>
      </w:r>
    </w:p>
    <w:p>
      <w:pPr>
        <w:pStyle w:val="Subtitle"/>
        <w:jc w:val="center"/>
      </w:pPr>
      <w:r>
        <w:t>Landing page, download architecture, tracking plan, and agent email campaign.</w:t>
      </w:r>
    </w:p>
    <w:p>
      <w:pPr>
        <w:ind w:left="936" w:right="936"/>
        <w:jc w:val="center"/>
      </w:pPr>
      <w:r>
        <w:rPr>
          <w:i/>
          <w:color w:val="617386"/>
          <w:sz w:val="23"/>
        </w:rPr>
        <w:t>Ready-to-adapt copy for teamelitemktg.com and Awesome CRM.</w:t>
      </w:r>
    </w:p>
    <w:p/>
    <w:p>
      <w:pPr>
        <w:jc w:val="center"/>
      </w:pPr>
      <w:r>
        <w:rPr>
          <w:b/>
          <w:color w:val="D8A63B"/>
          <w:sz w:val="24"/>
        </w:rPr>
        <w:t>Known. Trusted. Chosen.</w:t>
      </w:r>
    </w:p>
    <w:p>
      <w:r>
        <w:br w:type="page"/>
      </w:r>
    </w:p>
    <w:p>
      <w:pPr>
        <w:pStyle w:val="Heading1"/>
      </w:pPr>
      <w:r>
        <w:t>Landing page strategy</w:t>
      </w:r>
    </w:p>
    <w:tbl>
      <w:tblPr>
        <w:tblW w:type="auto" w:w="0"/>
        <w:jc w:val="center"/>
        <w:tblLayout w:type="fixed"/>
        <w:tblLook w:firstColumn="1" w:firstRow="1" w:lastColumn="0" w:lastRow="0" w:noHBand="0" w:noVBand="1" w:val="04A0"/>
      </w:tblPr>
      <w:tblGrid>
        <w:gridCol w:w="9936"/>
      </w:tblGrid>
      <w:tr>
        <w:trPr>
          <w:tblHeader/>
        </w:trPr>
        <w:tc>
          <w:tcPr>
            <w:tcW w:type="dxa" w:w="9720"/>
            <w:shd w:fill="EEF3F6"/>
            <w:tcMar>
              <w:top w:w="150" w:type="dxa"/>
              <w:start w:w="180" w:type="dxa"/>
              <w:bottom w:w="150" w:type="dxa"/>
              <w:end w:w="180" w:type="dxa"/>
            </w:tcMar>
          </w:tcPr>
          <w:p>
            <w:pPr>
              <w:spacing w:after="0"/>
            </w:pPr>
            <w:r>
              <w:rPr>
                <w:b/>
                <w:color w:val="E7674C"/>
                <w:sz w:val="19"/>
              </w:rPr>
              <w:t xml:space="preserve">PRIMARY AUDIENCE  </w:t>
            </w:r>
            <w:r>
              <w:rPr>
                <w:b/>
                <w:color w:val="132A44"/>
                <w:sz w:val="22"/>
              </w:rPr>
              <w:t>Local insurance agents—independent, captive, and franchise—who want a useful customer education asset without building it from scratch.</w:t>
            </w:r>
          </w:p>
        </w:tc>
      </w:tr>
    </w:tbl>
    <w:p>
      <w:pPr>
        <w:spacing w:after="0"/>
      </w:pPr>
    </w:p>
    <w:p>
      <w:pPr>
        <w:pStyle w:val="Heading2"/>
      </w:pPr>
      <w:r>
        <w:t>URL recommendation</w:t>
      </w:r>
    </w:p>
    <w:p>
      <w:r>
        <w:t>teamelitemktg.com/insurance-101-starter-kit</w:t>
      </w:r>
    </w:p>
    <w:p>
      <w:pPr>
        <w:pStyle w:val="Heading2"/>
      </w:pPr>
      <w:r>
        <w:t>SEO title</w:t>
      </w:r>
    </w:p>
    <w:p>
      <w:r>
        <w:t>Free Insurance 101 Starter Kit for Insurance Agents | TEAM</w:t>
      </w:r>
    </w:p>
    <w:p>
      <w:pPr>
        <w:pStyle w:val="Heading2"/>
      </w:pPr>
      <w:r>
        <w:t>Meta description</w:t>
      </w:r>
    </w:p>
    <w:p>
      <w:r>
        <w:t>Download a free, customizable Insurance 101 customer course, family workbook, email templates, and book-of-business campaign for local insurance agencies.</w:t>
      </w:r>
    </w:p>
    <w:p>
      <w:pPr>
        <w:pStyle w:val="Heading2"/>
      </w:pPr>
      <w:r>
        <w:t>Page headline</w:t>
      </w:r>
    </w:p>
    <w:p>
      <w:r>
        <w:t>Give Your Customers Better Insurance Questions—Without Building the Course Yourself</w:t>
      </w:r>
    </w:p>
    <w:p>
      <w:pPr>
        <w:pStyle w:val="Heading2"/>
      </w:pPr>
      <w:r>
        <w:t>Subhead</w:t>
      </w:r>
    </w:p>
    <w:p>
      <w:r>
        <w:t>The free Insurance 101 Starter Kit gives local agents a customizable customer mini-course, family workbook, teen-driver campaign, and implementation guide. No webinar. No form required. No sales pitch hiding behind the button.</w:t>
      </w:r>
    </w:p>
    <w:p>
      <w:pPr>
        <w:pStyle w:val="Heading2"/>
      </w:pPr>
      <w:r>
        <w:t>Primary CTA</w:t>
      </w:r>
    </w:p>
    <w:p>
      <w:r>
        <w:t>DOWNLOAD THE FREE STARTER KIT</w:t>
      </w:r>
    </w:p>
    <w:p>
      <w:pPr>
        <w:pStyle w:val="Heading2"/>
      </w:pPr>
      <w:r>
        <w:t>Trust line</w:t>
      </w:r>
    </w:p>
    <w:p>
      <w:r>
        <w:t>Built by insurance professionals for practical customer education. Adapt it to your agency, state, carrier, franchise, and compliance requirements before use.</w:t>
      </w:r>
    </w:p>
    <w:p>
      <w:r>
        <w:br w:type="page"/>
      </w:r>
    </w:p>
    <w:p>
      <w:pPr>
        <w:pStyle w:val="Heading1"/>
      </w:pPr>
      <w:r>
        <w:t>Full landing-page copy</w:t>
      </w:r>
    </w:p>
    <w:p>
      <w:pPr>
        <w:pStyle w:val="Heading2"/>
      </w:pPr>
      <w:r>
        <w:t>Insurance is hard to explain—and customers usually learn it at the worst possible time</w:t>
      </w:r>
    </w:p>
    <w:p>
      <w:r>
        <w:t>Most customers do not want a policy lecture. They want to understand the few decisions that can create the biggest financial surprises: limits, deductibles, exclusions, household drivers, property values, claims, and life changes.</w:t>
      </w:r>
    </w:p>
    <w:p>
      <w:r>
        <w:t>Most agents know they should educate customers. Very few have time to build a clean, useful course from scratch.</w:t>
      </w:r>
    </w:p>
    <w:p>
      <w:r>
        <w:t>So we built the starting point for you.</w:t>
      </w:r>
    </w:p>
    <w:p>
      <w:pPr>
        <w:pStyle w:val="Heading2"/>
      </w:pPr>
      <w:r>
        <w:t>What is included</w:t>
      </w:r>
    </w:p>
    <w:p>
      <w:pPr>
        <w:pStyle w:val="ListBullet"/>
        <w:spacing w:after="80"/>
        <w:ind w:left="504" w:hanging="259"/>
      </w:pPr>
      <w:r>
        <w:t>Customer-facing Insurance 101 mini-course.</w:t>
      </w:r>
    </w:p>
    <w:p>
      <w:pPr>
        <w:pStyle w:val="ListBullet"/>
        <w:spacing w:after="80"/>
        <w:ind w:left="504" w:hanging="259"/>
      </w:pPr>
      <w:r>
        <w:t>Editable Family Workbook.</w:t>
      </w:r>
    </w:p>
    <w:p>
      <w:pPr>
        <w:pStyle w:val="ListBullet"/>
        <w:spacing w:after="80"/>
        <w:ind w:left="504" w:hanging="259"/>
      </w:pPr>
      <w:r>
        <w:t>Independent and Captive/Franchise adaptation guidance.</w:t>
      </w:r>
    </w:p>
    <w:p>
      <w:pPr>
        <w:pStyle w:val="ListBullet"/>
        <w:spacing w:after="80"/>
        <w:ind w:left="504" w:hanging="259"/>
      </w:pPr>
      <w:r>
        <w:t>Teen and new-driver book-audit campaign.</w:t>
      </w:r>
    </w:p>
    <w:p>
      <w:pPr>
        <w:pStyle w:val="ListBullet"/>
        <w:spacing w:after="80"/>
        <w:ind w:left="504" w:hanging="259"/>
      </w:pPr>
      <w:r>
        <w:t>Customer email templates and annual-review CTAs.</w:t>
      </w:r>
    </w:p>
    <w:p>
      <w:pPr>
        <w:pStyle w:val="ListBullet"/>
        <w:spacing w:after="80"/>
        <w:ind w:left="504" w:hanging="259"/>
      </w:pPr>
      <w:r>
        <w:t>Website, tracking, and measurement instructions.</w:t>
      </w:r>
    </w:p>
    <w:p>
      <w:pPr>
        <w:pStyle w:val="ListBullet"/>
        <w:spacing w:after="80"/>
        <w:ind w:left="504" w:hanging="259"/>
      </w:pPr>
      <w:r>
        <w:t>Compliance and approval checklist.</w:t>
      </w:r>
    </w:p>
    <w:p>
      <w:pPr>
        <w:pStyle w:val="Heading2"/>
      </w:pPr>
      <w:r>
        <w:t>What customers learn</w:t>
      </w:r>
    </w:p>
    <w:p>
      <w:pPr>
        <w:pStyle w:val="ListBullet"/>
        <w:spacing w:after="80"/>
        <w:ind w:left="504" w:hanging="259"/>
      </w:pPr>
      <w:r>
        <w:t>Why insurance exists.</w:t>
      </w:r>
    </w:p>
    <w:p>
      <w:pPr>
        <w:pStyle w:val="ListBullet"/>
        <w:spacing w:after="80"/>
        <w:ind w:left="504" w:hanging="259"/>
      </w:pPr>
      <w:r>
        <w:t>The eight terms that unlock most insurance conversations.</w:t>
      </w:r>
    </w:p>
    <w:p>
      <w:pPr>
        <w:pStyle w:val="ListBullet"/>
        <w:spacing w:after="80"/>
        <w:ind w:left="504" w:hanging="259"/>
      </w:pPr>
      <w:r>
        <w:t>How to read a declarations page.</w:t>
      </w:r>
    </w:p>
    <w:p>
      <w:pPr>
        <w:pStyle w:val="ListBullet"/>
        <w:spacing w:after="80"/>
        <w:ind w:left="504" w:hanging="259"/>
      </w:pPr>
      <w:r>
        <w:t>How limits, deductibles, exclusions, and valuation create tradeoffs.</w:t>
      </w:r>
    </w:p>
    <w:p>
      <w:pPr>
        <w:pStyle w:val="ListBullet"/>
        <w:spacing w:after="80"/>
        <w:ind w:left="504" w:hanging="259"/>
      </w:pPr>
      <w:r>
        <w:t>Auto, teen-driver, home, and renters questions.</w:t>
      </w:r>
    </w:p>
    <w:p>
      <w:pPr>
        <w:pStyle w:val="ListBullet"/>
        <w:spacing w:after="80"/>
        <w:ind w:left="504" w:hanging="259"/>
      </w:pPr>
      <w:r>
        <w:t>How to prepare before and after a claim.</w:t>
      </w:r>
    </w:p>
    <w:p>
      <w:pPr>
        <w:pStyle w:val="ListBullet"/>
        <w:spacing w:after="80"/>
        <w:ind w:left="504" w:hanging="259"/>
      </w:pPr>
      <w:r>
        <w:t>Which life changes should trigger a review.</w:t>
      </w:r>
    </w:p>
    <w:p>
      <w:pPr>
        <w:pStyle w:val="Heading2"/>
      </w:pPr>
      <w:r>
        <w:t>Built to be changed</w:t>
      </w:r>
    </w:p>
    <w:p>
      <w:r>
        <w:t>Add your agency identity. Remove lessons that do not fit. Add approved state or carrier resources. Change the CTA. Use it as a website resource, onboarding tool, annual-review campaign, family-driver conversation, or bridge into community education.</w:t>
      </w:r>
    </w:p>
    <w:p>
      <w:pPr>
        <w:pStyle w:val="Heading2"/>
      </w:pPr>
      <w:r>
        <w:t>Important</w:t>
      </w:r>
    </w:p>
    <w:p>
      <w:r>
        <w:t>The materials are general educational templates. They are not legal, compliance, coverage, or state-specific advice. Every agency is responsible for review, approval, licensing disclosures, brand rules, and the accuracy of its final version.</w:t>
      </w:r>
    </w:p>
    <w:tbl>
      <w:tblPr>
        <w:tblW w:type="auto" w:w="0"/>
        <w:jc w:val="center"/>
        <w:tblLayout w:type="fixed"/>
        <w:tblLook w:firstColumn="1" w:firstRow="1" w:lastColumn="0" w:lastRow="0" w:noHBand="0" w:noVBand="1" w:val="04A0"/>
      </w:tblPr>
      <w:tblGrid>
        <w:gridCol w:w="9936"/>
      </w:tblGrid>
      <w:tr>
        <w:trPr>
          <w:tblHeader/>
        </w:trPr>
        <w:tc>
          <w:tcPr>
            <w:tcW w:type="dxa" w:w="9720"/>
            <w:shd w:fill="EEF3F6"/>
            <w:tcMar>
              <w:top w:w="150" w:type="dxa"/>
              <w:start w:w="180" w:type="dxa"/>
              <w:bottom w:w="150" w:type="dxa"/>
              <w:end w:w="180" w:type="dxa"/>
            </w:tcMar>
          </w:tcPr>
          <w:p>
            <w:pPr>
              <w:spacing w:after="0"/>
            </w:pPr>
            <w:r>
              <w:rPr>
                <w:b/>
                <w:color w:val="E7674C"/>
                <w:sz w:val="19"/>
              </w:rPr>
              <w:t xml:space="preserve">FINAL CTA  </w:t>
            </w:r>
            <w:r>
              <w:rPr>
                <w:b/>
                <w:color w:val="132A44"/>
                <w:sz w:val="22"/>
              </w:rPr>
              <w:t>Download it. Customize it. Send it to the first 25 customers. Learn what they ask. Improve it from there.</w:t>
            </w:r>
          </w:p>
        </w:tc>
      </w:tr>
    </w:tbl>
    <w:p>
      <w:pPr>
        <w:spacing w:after="0"/>
      </w:pPr>
    </w:p>
    <w:p>
      <w:r>
        <w:br w:type="page"/>
      </w:r>
    </w:p>
    <w:p>
      <w:pPr>
        <w:pStyle w:val="Heading1"/>
      </w:pPr>
      <w:r>
        <w:t>Download architecture: no form required</w:t>
      </w:r>
    </w:p>
    <w:tbl>
      <w:tblPr>
        <w:tblW w:type="auto" w:w="0"/>
        <w:jc w:val="center"/>
        <w:tblLayout w:type="fixed"/>
        <w:tblLook w:firstColumn="1" w:firstRow="1" w:lastColumn="0" w:lastRow="0" w:noHBand="0" w:noVBand="1" w:val="04A0"/>
      </w:tblPr>
      <w:tblGrid>
        <w:gridCol w:w="3312"/>
        <w:gridCol w:w="3312"/>
        <w:gridCol w:w="3312"/>
      </w:tblGrid>
      <w:tr>
        <w:trPr>
          <w:tblHeader/>
        </w:trPr>
        <w:tc>
          <w:tcPr>
            <w:tcW w:type="dxa" w:w="2232"/>
            <w:shd w:fill="132A44"/>
          </w:tcPr>
          <w:p>
            <w:r>
              <w:rPr>
                <w:b/>
                <w:color w:val="FFFFFF"/>
              </w:rPr>
              <w:t>Button</w:t>
            </w:r>
          </w:p>
        </w:tc>
        <w:tc>
          <w:tcPr>
            <w:tcW w:type="dxa" w:w="3888"/>
            <w:shd w:fill="132A44"/>
          </w:tcPr>
          <w:p>
            <w:r>
              <w:rPr>
                <w:b/>
                <w:color w:val="FFFFFF"/>
              </w:rPr>
              <w:t>File / destination</w:t>
            </w:r>
          </w:p>
        </w:tc>
        <w:tc>
          <w:tcPr>
            <w:tcW w:type="dxa" w:w="2880"/>
            <w:shd w:fill="132A44"/>
          </w:tcPr>
          <w:p>
            <w:r>
              <w:rPr>
                <w:b/>
                <w:color w:val="FFFFFF"/>
              </w:rPr>
              <w:t>Tracking</w:t>
            </w:r>
          </w:p>
        </w:tc>
      </w:tr>
      <w:tr>
        <w:tc>
          <w:tcPr>
            <w:tcW w:type="dxa" w:w="3312"/>
            <w:tcMar>
              <w:top w:w="100" w:type="dxa"/>
              <w:start w:w="110" w:type="dxa"/>
              <w:bottom w:w="100" w:type="dxa"/>
              <w:end w:w="110" w:type="dxa"/>
            </w:tcMar>
          </w:tcPr>
          <w:p>
            <w:r>
              <w:rPr>
                <w:b/>
              </w:rPr>
              <w:t>Get the Complete Starter Kit</w:t>
            </w:r>
          </w:p>
        </w:tc>
        <w:tc>
          <w:tcPr>
            <w:tcW w:type="dxa" w:w="3312"/>
            <w:tcMar>
              <w:top w:w="100" w:type="dxa"/>
              <w:start w:w="110" w:type="dxa"/>
              <w:bottom w:w="100" w:type="dxa"/>
              <w:end w:w="110" w:type="dxa"/>
            </w:tcMar>
          </w:tcPr>
          <w:p>
            <w:r>
              <w:t>ZIP or download page containing all agent files.</w:t>
            </w:r>
          </w:p>
        </w:tc>
        <w:tc>
          <w:tcPr>
            <w:tcW w:type="dxa" w:w="3312"/>
            <w:tcMar>
              <w:top w:w="100" w:type="dxa"/>
              <w:start w:w="110" w:type="dxa"/>
              <w:bottom w:w="100" w:type="dxa"/>
              <w:end w:w="110" w:type="dxa"/>
            </w:tcMar>
          </w:tcPr>
          <w:p>
            <w:r>
              <w:t>GA4 file_download + UTM source / campaign.</w:t>
            </w:r>
          </w:p>
        </w:tc>
      </w:tr>
      <w:tr>
        <w:tc>
          <w:tcPr>
            <w:tcW w:type="dxa" w:w="3312"/>
            <w:tcMar>
              <w:top w:w="100" w:type="dxa"/>
              <w:start w:w="110" w:type="dxa"/>
              <w:bottom w:w="100" w:type="dxa"/>
              <w:end w:w="110" w:type="dxa"/>
            </w:tcMar>
            <w:shd w:fill="EEF3F6"/>
          </w:tcPr>
          <w:p>
            <w:r>
              <w:rPr>
                <w:b/>
              </w:rPr>
              <w:t>Preview Insurance 101</w:t>
            </w:r>
          </w:p>
        </w:tc>
        <w:tc>
          <w:tcPr>
            <w:tcW w:type="dxa" w:w="3312"/>
            <w:tcMar>
              <w:top w:w="100" w:type="dxa"/>
              <w:start w:w="110" w:type="dxa"/>
              <w:bottom w:w="100" w:type="dxa"/>
              <w:end w:w="110" w:type="dxa"/>
            </w:tcMar>
            <w:shd w:fill="EEF3F6"/>
          </w:tcPr>
          <w:p>
            <w:r>
              <w:t>Public course page or deck preview.</w:t>
            </w:r>
          </w:p>
        </w:tc>
        <w:tc>
          <w:tcPr>
            <w:tcW w:type="dxa" w:w="3312"/>
            <w:tcMar>
              <w:top w:w="100" w:type="dxa"/>
              <w:start w:w="110" w:type="dxa"/>
              <w:bottom w:w="100" w:type="dxa"/>
              <w:end w:w="110" w:type="dxa"/>
            </w:tcMar>
            <w:shd w:fill="EEF3F6"/>
          </w:tcPr>
          <w:p>
            <w:r>
              <w:t>Page view, scroll, outbound clicks.</w:t>
            </w:r>
          </w:p>
        </w:tc>
      </w:tr>
      <w:tr>
        <w:tc>
          <w:tcPr>
            <w:tcW w:type="dxa" w:w="3312"/>
            <w:tcMar>
              <w:top w:w="100" w:type="dxa"/>
              <w:start w:w="110" w:type="dxa"/>
              <w:bottom w:w="100" w:type="dxa"/>
              <w:end w:w="110" w:type="dxa"/>
            </w:tcMar>
          </w:tcPr>
          <w:p>
            <w:r>
              <w:rPr>
                <w:b/>
              </w:rPr>
              <w:t>Download Family Workbook</w:t>
            </w:r>
          </w:p>
        </w:tc>
        <w:tc>
          <w:tcPr>
            <w:tcW w:type="dxa" w:w="3312"/>
            <w:tcMar>
              <w:top w:w="100" w:type="dxa"/>
              <w:start w:w="110" w:type="dxa"/>
              <w:bottom w:w="100" w:type="dxa"/>
              <w:end w:w="110" w:type="dxa"/>
            </w:tcMar>
          </w:tcPr>
          <w:p>
            <w:r>
              <w:t>Editable DOCX or PDF if later created.</w:t>
            </w:r>
          </w:p>
        </w:tc>
        <w:tc>
          <w:tcPr>
            <w:tcW w:type="dxa" w:w="3312"/>
            <w:tcMar>
              <w:top w:w="100" w:type="dxa"/>
              <w:start w:w="110" w:type="dxa"/>
              <w:bottom w:w="100" w:type="dxa"/>
              <w:end w:w="110" w:type="dxa"/>
            </w:tcMar>
          </w:tcPr>
          <w:p>
            <w:r>
              <w:t>Named file_download event.</w:t>
            </w:r>
          </w:p>
        </w:tc>
      </w:tr>
      <w:tr>
        <w:tc>
          <w:tcPr>
            <w:tcW w:type="dxa" w:w="3312"/>
            <w:tcMar>
              <w:top w:w="100" w:type="dxa"/>
              <w:start w:w="110" w:type="dxa"/>
              <w:bottom w:w="100" w:type="dxa"/>
              <w:end w:w="110" w:type="dxa"/>
            </w:tcMar>
            <w:shd w:fill="EEF3F6"/>
          </w:tcPr>
          <w:p>
            <w:r>
              <w:rPr>
                <w:b/>
              </w:rPr>
              <w:t>Learn About AITC OS</w:t>
            </w:r>
          </w:p>
        </w:tc>
        <w:tc>
          <w:tcPr>
            <w:tcW w:type="dxa" w:w="3312"/>
            <w:tcMar>
              <w:top w:w="100" w:type="dxa"/>
              <w:start w:w="110" w:type="dxa"/>
              <w:bottom w:w="100" w:type="dxa"/>
              <w:end w:w="110" w:type="dxa"/>
            </w:tcMar>
            <w:shd w:fill="EEF3F6"/>
          </w:tcPr>
          <w:p>
            <w:r>
              <w:t>AITC page.</w:t>
            </w:r>
          </w:p>
        </w:tc>
        <w:tc>
          <w:tcPr>
            <w:tcW w:type="dxa" w:w="3312"/>
            <w:tcMar>
              <w:top w:w="100" w:type="dxa"/>
              <w:start w:w="110" w:type="dxa"/>
              <w:bottom w:w="100" w:type="dxa"/>
              <w:end w:w="110" w:type="dxa"/>
            </w:tcMar>
            <w:shd w:fill="EEF3F6"/>
          </w:tcPr>
          <w:p>
            <w:r>
              <w:t>Separate CTA click and campaign tag.</w:t>
            </w:r>
          </w:p>
        </w:tc>
      </w:tr>
    </w:tbl>
    <w:p>
      <w:r>
        <w:t>Recommended: make the primary download a simple page listing the individual files instead of an immediate ZIP. That lets agents understand what they received and gives TEAM cleaner click data for each component.</w:t>
      </w:r>
    </w:p>
    <w:p>
      <w:pPr>
        <w:pStyle w:val="Heading2"/>
      </w:pPr>
      <w:r>
        <w:t>What you will know</w:t>
      </w:r>
    </w:p>
    <w:p>
      <w:pPr>
        <w:pStyle w:val="ListBullet"/>
        <w:spacing w:after="80"/>
        <w:ind w:left="504" w:hanging="259"/>
      </w:pPr>
      <w:r>
        <w:t>GA4 can show aggregate page visits and file-download events.</w:t>
      </w:r>
    </w:p>
    <w:p>
      <w:pPr>
        <w:pStyle w:val="ListBullet"/>
        <w:spacing w:after="80"/>
        <w:ind w:left="504" w:hanging="259"/>
      </w:pPr>
      <w:r>
        <w:t>UTM parameters can distinguish Outlook wave, LinkedIn, Substack, website navigation, and partner traffic.</w:t>
      </w:r>
    </w:p>
    <w:p>
      <w:pPr>
        <w:pStyle w:val="ListBullet"/>
        <w:spacing w:after="80"/>
        <w:ind w:left="504" w:hanging="259"/>
      </w:pPr>
      <w:r>
        <w:t>Awesome CRM trigger links can record the click on the contact timeline and start a workflow when the email is sent through supported CRM channels.</w:t>
      </w:r>
    </w:p>
    <w:p>
      <w:pPr>
        <w:pStyle w:val="Heading2"/>
      </w:pPr>
      <w:r>
        <w:t>What you will not know without identification</w:t>
      </w:r>
    </w:p>
    <w:p>
      <w:pPr>
        <w:pStyle w:val="ListBullet"/>
        <w:spacing w:after="80"/>
        <w:ind w:left="504" w:hanging="259"/>
      </w:pPr>
      <w:r>
        <w:t>The identity of an anonymous visitor who arrives directly or through a shared public link.</w:t>
      </w:r>
    </w:p>
    <w:p>
      <w:pPr>
        <w:pStyle w:val="ListBullet"/>
        <w:spacing w:after="80"/>
        <w:ind w:left="504" w:hanging="259"/>
      </w:pPr>
      <w:r>
        <w:t>Whether every click resulted in a saved, opened, read, or customized document.</w:t>
      </w:r>
    </w:p>
    <w:p>
      <w:pPr>
        <w:pStyle w:val="ListBullet"/>
        <w:spacing w:after="80"/>
        <w:ind w:left="504" w:hanging="259"/>
      </w:pPr>
      <w:r>
        <w:t>Reliable intent from an email open alone.</w:t>
      </w:r>
    </w:p>
    <w:tbl>
      <w:tblPr>
        <w:tblW w:type="auto" w:w="0"/>
        <w:jc w:val="center"/>
        <w:tblLayout w:type="fixed"/>
        <w:tblLook w:firstColumn="1" w:firstRow="1" w:lastColumn="0" w:lastRow="0" w:noHBand="0" w:noVBand="1" w:val="04A0"/>
      </w:tblPr>
      <w:tblGrid>
        <w:gridCol w:w="9936"/>
      </w:tblGrid>
      <w:tr>
        <w:trPr>
          <w:tblHeader/>
        </w:trPr>
        <w:tc>
          <w:tcPr>
            <w:tcW w:type="dxa" w:w="9720"/>
            <w:shd w:fill="EEF3F6"/>
            <w:tcMar>
              <w:top w:w="150" w:type="dxa"/>
              <w:start w:w="180" w:type="dxa"/>
              <w:bottom w:w="150" w:type="dxa"/>
              <w:end w:w="180" w:type="dxa"/>
            </w:tcMar>
          </w:tcPr>
          <w:p>
            <w:pPr>
              <w:spacing w:after="0"/>
            </w:pPr>
            <w:r>
              <w:rPr>
                <w:b/>
                <w:color w:val="E7674C"/>
                <w:sz w:val="19"/>
              </w:rPr>
              <w:t xml:space="preserve">PRIMARY SUCCESS SIGNAL  </w:t>
            </w:r>
            <w:r>
              <w:rPr>
                <w:b/>
                <w:color w:val="132A44"/>
                <w:sz w:val="22"/>
              </w:rPr>
              <w:t>Measure the click, download, reply, and follow-up action. Treat opens as directional—not proof of interest.</w:t>
            </w:r>
          </w:p>
        </w:tc>
      </w:tr>
    </w:tbl>
    <w:p>
      <w:pPr>
        <w:spacing w:after="0"/>
      </w:pPr>
    </w:p>
    <w:p>
      <w:r>
        <w:br w:type="page"/>
      </w:r>
    </w:p>
    <w:p>
      <w:pPr>
        <w:pStyle w:val="Heading1"/>
      </w:pPr>
      <w:r>
        <w:t>Tracking setup</w:t>
      </w:r>
    </w:p>
    <w:tbl>
      <w:tblPr>
        <w:tblW w:type="auto" w:w="0"/>
        <w:jc w:val="center"/>
        <w:tblLayout w:type="fixed"/>
        <w:tblLook w:firstColumn="1" w:firstRow="1" w:lastColumn="0" w:lastRow="0" w:noHBand="0" w:noVBand="1" w:val="04A0"/>
      </w:tblPr>
      <w:tblGrid>
        <w:gridCol w:w="3312"/>
        <w:gridCol w:w="3312"/>
        <w:gridCol w:w="3312"/>
      </w:tblGrid>
      <w:tr>
        <w:trPr>
          <w:tblHeader/>
        </w:trPr>
        <w:tc>
          <w:tcPr>
            <w:tcW w:type="dxa" w:w="1800"/>
            <w:shd w:fill="132A44"/>
          </w:tcPr>
          <w:p>
            <w:r>
              <w:rPr>
                <w:b/>
                <w:color w:val="FFFFFF"/>
              </w:rPr>
              <w:t>Channel</w:t>
            </w:r>
          </w:p>
        </w:tc>
        <w:tc>
          <w:tcPr>
            <w:tcW w:type="dxa" w:w="4464"/>
            <w:shd w:fill="132A44"/>
          </w:tcPr>
          <w:p>
            <w:r>
              <w:rPr>
                <w:b/>
                <w:color w:val="FFFFFF"/>
              </w:rPr>
              <w:t>Link example</w:t>
            </w:r>
          </w:p>
        </w:tc>
        <w:tc>
          <w:tcPr>
            <w:tcW w:type="dxa" w:w="2736"/>
            <w:shd w:fill="132A44"/>
          </w:tcPr>
          <w:p>
            <w:r>
              <w:rPr>
                <w:b/>
                <w:color w:val="FFFFFF"/>
              </w:rPr>
              <w:t>What it answers</w:t>
            </w:r>
          </w:p>
        </w:tc>
      </w:tr>
      <w:tr>
        <w:tc>
          <w:tcPr>
            <w:tcW w:type="dxa" w:w="3312"/>
            <w:tcMar>
              <w:top w:w="100" w:type="dxa"/>
              <w:start w:w="110" w:type="dxa"/>
              <w:bottom w:w="100" w:type="dxa"/>
              <w:end w:w="110" w:type="dxa"/>
            </w:tcMar>
          </w:tcPr>
          <w:p>
            <w:r>
              <w:rPr>
                <w:b/>
              </w:rPr>
              <w:t>Manual Outlook — Wave 1</w:t>
            </w:r>
          </w:p>
        </w:tc>
        <w:tc>
          <w:tcPr>
            <w:tcW w:type="dxa" w:w="3312"/>
            <w:tcMar>
              <w:top w:w="100" w:type="dxa"/>
              <w:start w:w="110" w:type="dxa"/>
              <w:bottom w:w="100" w:type="dxa"/>
              <w:end w:w="110" w:type="dxa"/>
            </w:tcMar>
          </w:tcPr>
          <w:p>
            <w:r>
              <w:t>?utm_source=outlook&amp;utm_medium=email&amp;utm_campaign=i101_starter&amp;utm_content=email1</w:t>
            </w:r>
          </w:p>
        </w:tc>
        <w:tc>
          <w:tcPr>
            <w:tcW w:type="dxa" w:w="3312"/>
            <w:tcMar>
              <w:top w:w="100" w:type="dxa"/>
              <w:start w:w="110" w:type="dxa"/>
              <w:bottom w:w="100" w:type="dxa"/>
              <w:end w:w="110" w:type="dxa"/>
            </w:tcMar>
          </w:tcPr>
          <w:p>
            <w:r>
              <w:t>Which email wave drove aggregate traffic?</w:t>
            </w:r>
          </w:p>
        </w:tc>
      </w:tr>
      <w:tr>
        <w:tc>
          <w:tcPr>
            <w:tcW w:type="dxa" w:w="3312"/>
            <w:tcMar>
              <w:top w:w="100" w:type="dxa"/>
              <w:start w:w="110" w:type="dxa"/>
              <w:bottom w:w="100" w:type="dxa"/>
              <w:end w:w="110" w:type="dxa"/>
            </w:tcMar>
            <w:shd w:fill="EEF3F6"/>
          </w:tcPr>
          <w:p>
            <w:r>
              <w:rPr>
                <w:b/>
              </w:rPr>
              <w:t>LinkedIn</w:t>
            </w:r>
          </w:p>
        </w:tc>
        <w:tc>
          <w:tcPr>
            <w:tcW w:type="dxa" w:w="3312"/>
            <w:tcMar>
              <w:top w:w="100" w:type="dxa"/>
              <w:start w:w="110" w:type="dxa"/>
              <w:bottom w:w="100" w:type="dxa"/>
              <w:end w:w="110" w:type="dxa"/>
            </w:tcMar>
            <w:shd w:fill="EEF3F6"/>
          </w:tcPr>
          <w:p>
            <w:r>
              <w:t>?utm_source=linkedin&amp;utm_medium=social&amp;utm_campaign=i101_starter</w:t>
            </w:r>
          </w:p>
        </w:tc>
        <w:tc>
          <w:tcPr>
            <w:tcW w:type="dxa" w:w="3312"/>
            <w:tcMar>
              <w:top w:w="100" w:type="dxa"/>
              <w:start w:w="110" w:type="dxa"/>
              <w:bottom w:w="100" w:type="dxa"/>
              <w:end w:w="110" w:type="dxa"/>
            </w:tcMar>
            <w:shd w:fill="EEF3F6"/>
          </w:tcPr>
          <w:p>
            <w:r>
              <w:t>Did social create visits and downloads?</w:t>
            </w:r>
          </w:p>
        </w:tc>
      </w:tr>
      <w:tr>
        <w:tc>
          <w:tcPr>
            <w:tcW w:type="dxa" w:w="3312"/>
            <w:tcMar>
              <w:top w:w="100" w:type="dxa"/>
              <w:start w:w="110" w:type="dxa"/>
              <w:bottom w:w="100" w:type="dxa"/>
              <w:end w:w="110" w:type="dxa"/>
            </w:tcMar>
          </w:tcPr>
          <w:p>
            <w:r>
              <w:rPr>
                <w:b/>
              </w:rPr>
              <w:t>Substack</w:t>
            </w:r>
          </w:p>
        </w:tc>
        <w:tc>
          <w:tcPr>
            <w:tcW w:type="dxa" w:w="3312"/>
            <w:tcMar>
              <w:top w:w="100" w:type="dxa"/>
              <w:start w:w="110" w:type="dxa"/>
              <w:bottom w:w="100" w:type="dxa"/>
              <w:end w:w="110" w:type="dxa"/>
            </w:tcMar>
          </w:tcPr>
          <w:p>
            <w:r>
              <w:t>?utm_source=substack&amp;utm_medium=article&amp;utm_campaign=i101_starter</w:t>
            </w:r>
          </w:p>
        </w:tc>
        <w:tc>
          <w:tcPr>
            <w:tcW w:type="dxa" w:w="3312"/>
            <w:tcMar>
              <w:top w:w="100" w:type="dxa"/>
              <w:start w:w="110" w:type="dxa"/>
              <w:bottom w:w="100" w:type="dxa"/>
              <w:end w:w="110" w:type="dxa"/>
            </w:tcMar>
          </w:tcPr>
          <w:p>
            <w:r>
              <w:t>Did the article convert readers?</w:t>
            </w:r>
          </w:p>
        </w:tc>
      </w:tr>
      <w:tr>
        <w:tc>
          <w:tcPr>
            <w:tcW w:type="dxa" w:w="3312"/>
            <w:tcMar>
              <w:top w:w="100" w:type="dxa"/>
              <w:start w:w="110" w:type="dxa"/>
              <w:bottom w:w="100" w:type="dxa"/>
              <w:end w:w="110" w:type="dxa"/>
            </w:tcMar>
            <w:shd w:fill="EEF3F6"/>
          </w:tcPr>
          <w:p>
            <w:r>
              <w:rPr>
                <w:b/>
              </w:rPr>
              <w:t>Awesome CRM</w:t>
            </w:r>
          </w:p>
        </w:tc>
        <w:tc>
          <w:tcPr>
            <w:tcW w:type="dxa" w:w="3312"/>
            <w:tcMar>
              <w:top w:w="100" w:type="dxa"/>
              <w:start w:w="110" w:type="dxa"/>
              <w:bottom w:w="100" w:type="dxa"/>
              <w:end w:w="110" w:type="dxa"/>
            </w:tcMar>
            <w:shd w:fill="EEF3F6"/>
          </w:tcPr>
          <w:p>
            <w:r>
              <w:t>Use a named trigger link pointing to the UTM URL.</w:t>
            </w:r>
          </w:p>
        </w:tc>
        <w:tc>
          <w:tcPr>
            <w:tcW w:type="dxa" w:w="3312"/>
            <w:tcMar>
              <w:top w:w="100" w:type="dxa"/>
              <w:start w:w="110" w:type="dxa"/>
              <w:bottom w:w="100" w:type="dxa"/>
              <w:end w:w="110" w:type="dxa"/>
            </w:tcMar>
            <w:shd w:fill="EEF3F6"/>
          </w:tcPr>
          <w:p>
            <w:r>
              <w:t>Which known CRM contact clicked?</w:t>
            </w:r>
          </w:p>
        </w:tc>
      </w:tr>
      <w:tr>
        <w:tc>
          <w:tcPr>
            <w:tcW w:type="dxa" w:w="3312"/>
            <w:tcMar>
              <w:top w:w="100" w:type="dxa"/>
              <w:start w:w="110" w:type="dxa"/>
              <w:bottom w:w="100" w:type="dxa"/>
              <w:end w:w="110" w:type="dxa"/>
            </w:tcMar>
          </w:tcPr>
          <w:p>
            <w:r>
              <w:rPr>
                <w:b/>
              </w:rPr>
              <w:t>Partners</w:t>
            </w:r>
          </w:p>
        </w:tc>
        <w:tc>
          <w:tcPr>
            <w:tcW w:type="dxa" w:w="3312"/>
            <w:tcMar>
              <w:top w:w="100" w:type="dxa"/>
              <w:start w:w="110" w:type="dxa"/>
              <w:bottom w:w="100" w:type="dxa"/>
              <w:end w:w="110" w:type="dxa"/>
            </w:tcMar>
          </w:tcPr>
          <w:p>
            <w:r>
              <w:t>?utm_source=partnername&amp;utm_medium=referral&amp;utm_campaign=i101_starter</w:t>
            </w:r>
          </w:p>
        </w:tc>
        <w:tc>
          <w:tcPr>
            <w:tcW w:type="dxa" w:w="3312"/>
            <w:tcMar>
              <w:top w:w="100" w:type="dxa"/>
              <w:start w:w="110" w:type="dxa"/>
              <w:bottom w:w="100" w:type="dxa"/>
              <w:end w:w="110" w:type="dxa"/>
            </w:tcMar>
          </w:tcPr>
          <w:p>
            <w:r>
              <w:t>Which partner produced traffic?</w:t>
            </w:r>
          </w:p>
        </w:tc>
      </w:tr>
    </w:tbl>
    <w:p>
      <w:pPr>
        <w:pStyle w:val="Heading2"/>
      </w:pPr>
      <w:r>
        <w:t>Suggested CRM tags</w:t>
      </w:r>
    </w:p>
    <w:p>
      <w:pPr>
        <w:pStyle w:val="ListBullet"/>
        <w:spacing w:after="80"/>
        <w:ind w:left="504" w:hanging="259"/>
      </w:pPr>
      <w:r>
        <w:t>I101_Starter_Clicked</w:t>
      </w:r>
    </w:p>
    <w:p>
      <w:pPr>
        <w:pStyle w:val="ListBullet"/>
        <w:spacing w:after="80"/>
        <w:ind w:left="504" w:hanging="259"/>
      </w:pPr>
      <w:r>
        <w:t>I101_Starter_Downloaded (only if deterministically captured)</w:t>
      </w:r>
    </w:p>
    <w:p>
      <w:pPr>
        <w:pStyle w:val="ListBullet"/>
        <w:spacing w:after="80"/>
        <w:ind w:left="504" w:hanging="259"/>
      </w:pPr>
      <w:r>
        <w:t>I101_Agent_Independent</w:t>
      </w:r>
    </w:p>
    <w:p>
      <w:pPr>
        <w:pStyle w:val="ListBullet"/>
        <w:spacing w:after="80"/>
        <w:ind w:left="504" w:hanging="259"/>
      </w:pPr>
      <w:r>
        <w:t>I101_Agent_Captive_Franchise</w:t>
      </w:r>
    </w:p>
    <w:p>
      <w:pPr>
        <w:pStyle w:val="ListBullet"/>
        <w:spacing w:after="80"/>
        <w:ind w:left="504" w:hanging="259"/>
      </w:pPr>
      <w:r>
        <w:t>I101_Replied</w:t>
      </w:r>
    </w:p>
    <w:p>
      <w:pPr>
        <w:pStyle w:val="ListBullet"/>
        <w:spacing w:after="80"/>
        <w:ind w:left="504" w:hanging="259"/>
      </w:pPr>
      <w:r>
        <w:t>I101_AITC_Interest</w:t>
      </w:r>
    </w:p>
    <w:p>
      <w:pPr>
        <w:pStyle w:val="Heading2"/>
      </w:pPr>
      <w:r>
        <w:t>Trigger-link workflow</w:t>
      </w:r>
    </w:p>
    <w:p>
      <w:pPr>
        <w:pStyle w:val="ListBullet"/>
        <w:spacing w:after="80"/>
        <w:ind w:left="504" w:hanging="259"/>
      </w:pPr>
      <w:r>
        <w:t>Trigger: Insurance 101 Starter Kit link clicked.</w:t>
      </w:r>
    </w:p>
    <w:p>
      <w:pPr>
        <w:pStyle w:val="ListBullet"/>
        <w:spacing w:after="80"/>
        <w:ind w:left="504" w:hanging="259"/>
      </w:pPr>
      <w:r>
        <w:t>Add tag: I101_Starter_Clicked.</w:t>
      </w:r>
    </w:p>
    <w:p>
      <w:pPr>
        <w:pStyle w:val="ListBullet"/>
        <w:spacing w:after="80"/>
        <w:ind w:left="504" w:hanging="259"/>
      </w:pPr>
      <w:r>
        <w:t>Wait two business days.</w:t>
      </w:r>
    </w:p>
    <w:p>
      <w:pPr>
        <w:pStyle w:val="ListBullet"/>
        <w:spacing w:after="80"/>
        <w:ind w:left="504" w:hanging="259"/>
      </w:pPr>
      <w:r>
        <w:t>If reply or AITC action exists: stop automated follow-up and notify the owner.</w:t>
      </w:r>
    </w:p>
    <w:p>
      <w:pPr>
        <w:pStyle w:val="ListBullet"/>
        <w:spacing w:after="80"/>
        <w:ind w:left="504" w:hanging="259"/>
      </w:pPr>
      <w:r>
        <w:t>Otherwise send one useful follow-up—not a sales ambush.</w:t>
      </w:r>
    </w:p>
    <w:p>
      <w:pPr>
        <w:pStyle w:val="Heading1"/>
      </w:pPr>
      <w:r>
        <w:t>Five-email agent campaign</w:t>
      </w:r>
    </w:p>
    <w:p>
      <w:pPr>
        <w:pStyle w:val="Heading2"/>
      </w:pPr>
      <w:r>
        <w:t>1 — The gift</w:t>
      </w:r>
    </w:p>
    <w:p>
      <w:r>
        <w:rPr>
          <w:b/>
        </w:rPr>
        <w:t xml:space="preserve">Subject: </w:t>
      </w:r>
      <w:r>
        <w:t>A free Insurance 101 course for your customers</w:t>
      </w:r>
    </w:p>
    <w:p>
      <w:r>
        <w:t>Hi [First Name],</w:t>
      </w:r>
    </w:p>
    <w:p>
      <w:r>
        <w:t>Most agents know they should educate customers. Very few have time to build the course, workbook, emails, and campaign from scratch. So we built the starting point. The Insurance 101 Starter Kit is free, customizable, and available without a form.</w:t>
      </w:r>
    </w:p>
    <w:p>
      <w:r>
        <w:rPr>
          <w:b/>
        </w:rPr>
        <w:t>CTA: Download the free Starter Kit</w:t>
      </w:r>
    </w:p>
    <w:p>
      <w:r>
        <w:t>Duane</w:t>
        <w:br/>
        <w:t>Agents in the Community™</w:t>
        <w:br/>
        <w:t>TEAM Elite Agency Marketing</w:t>
      </w:r>
    </w:p>
    <w:p>
      <w:pPr>
        <w:pStyle w:val="Heading2"/>
      </w:pPr>
      <w:r>
        <w:t>2 — The book opportunity</w:t>
      </w:r>
    </w:p>
    <w:p>
      <w:r>
        <w:rPr>
          <w:b/>
        </w:rPr>
        <w:t xml:space="preserve">Subject: </w:t>
      </w:r>
      <w:r>
        <w:t>How many future drivers are already in your book?</w:t>
      </w:r>
    </w:p>
    <w:p>
      <w:r>
        <w:t>Hi [First Name],</w:t>
      </w:r>
    </w:p>
    <w:p>
      <w:r>
        <w:t>Your best Insurance 101 audience may already be insured by you. The Starter Kit includes a campaign for adult policyholders with teen or future drivers—plus the family workbook and review invitation. It creates a useful conversation before the new-driver surprise hits.</w:t>
      </w:r>
    </w:p>
    <w:p>
      <w:r>
        <w:rPr>
          <w:b/>
        </w:rPr>
        <w:t>CTA: See the teen-driver campaign</w:t>
      </w:r>
    </w:p>
    <w:p>
      <w:r>
        <w:t>Duane</w:t>
        <w:br/>
        <w:t>Agents in the Community™</w:t>
        <w:br/>
        <w:t>TEAM Elite Agency Marketing</w:t>
      </w:r>
    </w:p>
    <w:p>
      <w:pPr>
        <w:pStyle w:val="Heading2"/>
      </w:pPr>
      <w:r>
        <w:t>3 — Two agency tracks</w:t>
      </w:r>
    </w:p>
    <w:p>
      <w:r>
        <w:rPr>
          <w:b/>
        </w:rPr>
        <w:t xml:space="preserve">Subject: </w:t>
      </w:r>
      <w:r>
        <w:t>Independent, captive, or franchise—it still needs to be yours</w:t>
      </w:r>
    </w:p>
    <w:p>
      <w:r>
        <w:t>Hi [First Name],</w:t>
      </w:r>
    </w:p>
    <w:p>
      <w:r>
        <w:t>Independent agents have flexibility. Captive and franchise agents have brand, product, and approval rules. The core education can stay generic while the examples, CTA, approvals, and distribution adapt to the agency model. We built both tracks into the free guide.</w:t>
      </w:r>
    </w:p>
    <w:p>
      <w:r>
        <w:rPr>
          <w:b/>
        </w:rPr>
        <w:t>CTA: Choose your agency track</w:t>
      </w:r>
    </w:p>
    <w:p>
      <w:r>
        <w:t>Duane</w:t>
        <w:br/>
        <w:t>Agents in the Community™</w:t>
        <w:br/>
        <w:t>TEAM Elite Agency Marketing</w:t>
      </w:r>
    </w:p>
    <w:p>
      <w:pPr>
        <w:pStyle w:val="Heading2"/>
      </w:pPr>
      <w:r>
        <w:t>4 — No gate</w:t>
      </w:r>
    </w:p>
    <w:p>
      <w:r>
        <w:rPr>
          <w:b/>
        </w:rPr>
        <w:t xml:space="preserve">Subject: </w:t>
      </w:r>
      <w:r>
        <w:t>No form. No webinar. No catch.</w:t>
      </w:r>
    </w:p>
    <w:p>
      <w:r>
        <w:t>Hi [First Name],</w:t>
      </w:r>
    </w:p>
    <w:p>
      <w:r>
        <w:t>You should not need to surrender your phone number and survive a sales sequence to get a useful customer resource. Open the page, download the files, customize them, and use them. If the free material helps, you will understand how we think. That is enough.</w:t>
      </w:r>
    </w:p>
    <w:p>
      <w:r>
        <w:rPr>
          <w:b/>
        </w:rPr>
        <w:t>CTA: Get Insurance 101</w:t>
      </w:r>
    </w:p>
    <w:p>
      <w:r>
        <w:t>Duane</w:t>
        <w:br/>
        <w:t>Agents in the Community™</w:t>
        <w:br/>
        <w:t>TEAM Elite Agency Marketing</w:t>
      </w:r>
    </w:p>
    <w:p>
      <w:pPr>
        <w:pStyle w:val="Heading2"/>
      </w:pPr>
      <w:r>
        <w:t>5 — The bridge</w:t>
      </w:r>
    </w:p>
    <w:p>
      <w:r>
        <w:rPr>
          <w:b/>
        </w:rPr>
        <w:t xml:space="preserve">Subject: </w:t>
      </w:r>
      <w:r>
        <w:t>Before you teach Insurance 101 in a school…</w:t>
      </w:r>
    </w:p>
    <w:p>
      <w:r>
        <w:t>Hi [First Name],</w:t>
      </w:r>
    </w:p>
    <w:p>
      <w:r>
        <w:t>Start with customers. Customize the course. Send it to families. Learn the questions. Improve your delivery. Then—when you are ready—Agents in School provides the school-safe system for taking Insurance 101 into classrooms and community education.</w:t>
      </w:r>
    </w:p>
    <w:p>
      <w:r>
        <w:rPr>
          <w:b/>
        </w:rPr>
        <w:t>CTA: Start with the free Starter Kit</w:t>
      </w:r>
    </w:p>
    <w:p>
      <w:r>
        <w:t>Duane</w:t>
        <w:br/>
        <w:t>Agents in the Community™</w:t>
        <w:br/>
        <w:t>TEAM Elite Agency Marketing</w:t>
      </w:r>
    </w:p>
    <w:p>
      <w:r>
        <w:br w:type="page"/>
      </w:r>
    </w:p>
    <w:p>
      <w:pPr>
        <w:pStyle w:val="Heading1"/>
      </w:pPr>
      <w:r>
        <w:t>Short LinkedIn launch post</w:t>
      </w:r>
    </w:p>
    <w:p>
      <w:r>
        <w:t>Most insurance customers learn insurance at the worst possible time: after the accident, during the claim, or when a life change exposes a gap.</w:t>
      </w:r>
    </w:p>
    <w:p>
      <w:r>
        <w:t>Most agents know customer education matters. They also do not have 40 spare hours to create a course, workbook, emails, landing page, and campaign.</w:t>
      </w:r>
    </w:p>
    <w:p>
      <w:r>
        <w:t>So we built the starting point.</w:t>
      </w:r>
    </w:p>
    <w:p>
      <w:r>
        <w:t>The Insurance 101 Starter Kit includes a customizable customer mini-course, Family Workbook, teen-driver book campaign, Independent and Captive/Franchise tracks, and the implementation guide.</w:t>
      </w:r>
    </w:p>
    <w:p>
      <w:r>
        <w:t>It is free.</w:t>
      </w:r>
    </w:p>
    <w:p>
      <w:r>
        <w:t>No form. No webinar. No sales call required.</w:t>
      </w:r>
    </w:p>
    <w:p>
      <w:r>
        <w:t>Download it. Make it yours. Send it to the first 25 customers. Learn what they ask. Improve it from there.</w:t>
      </w:r>
    </w:p>
    <w:p>
      <w:r>
        <w:t>Teach first. Serve families. Build trust that compounds.</w:t>
      </w:r>
    </w:p>
    <w:p>
      <w:r>
        <w:t>#InsuranceAgents #InsuranceMarketing #CustomerEducation #TeenDrivers #CommunityMarketing</w:t>
      </w:r>
    </w:p>
    <w:p>
      <w:pPr>
        <w:pStyle w:val="Heading1"/>
      </w:pPr>
      <w:r>
        <w:t>Website build checklist</w:t>
      </w:r>
    </w:p>
    <w:p>
      <w:pPr>
        <w:pStyle w:val="ListBullet"/>
        <w:spacing w:after="80"/>
        <w:ind w:left="504" w:hanging="259"/>
      </w:pPr>
      <w:r>
        <w:t>Create /insurance-101-starter-kit page.</w:t>
      </w:r>
    </w:p>
    <w:p>
      <w:pPr>
        <w:pStyle w:val="ListBullet"/>
        <w:spacing w:after="80"/>
        <w:ind w:left="504" w:hanging="259"/>
      </w:pPr>
      <w:r>
        <w:t>Upload files with clean, human-readable names.</w:t>
      </w:r>
    </w:p>
    <w:p>
      <w:pPr>
        <w:pStyle w:val="ListBullet"/>
        <w:spacing w:after="80"/>
        <w:ind w:left="504" w:hanging="259"/>
      </w:pPr>
      <w:r>
        <w:t>Add primary and component download buttons.</w:t>
      </w:r>
    </w:p>
    <w:p>
      <w:pPr>
        <w:pStyle w:val="ListBullet"/>
        <w:spacing w:after="80"/>
        <w:ind w:left="504" w:hanging="259"/>
      </w:pPr>
      <w:r>
        <w:t>Install or confirm GA4.</w:t>
      </w:r>
    </w:p>
    <w:p>
      <w:pPr>
        <w:pStyle w:val="ListBullet"/>
        <w:spacing w:after="80"/>
        <w:ind w:left="504" w:hanging="259"/>
      </w:pPr>
      <w:r>
        <w:t>Enable enhanced measurement / file downloads.</w:t>
      </w:r>
    </w:p>
    <w:p>
      <w:pPr>
        <w:pStyle w:val="ListBullet"/>
        <w:spacing w:after="80"/>
        <w:ind w:left="504" w:hanging="259"/>
      </w:pPr>
      <w:r>
        <w:t>Create UTM links for each outbound channel.</w:t>
      </w:r>
    </w:p>
    <w:p>
      <w:pPr>
        <w:pStyle w:val="ListBullet"/>
        <w:spacing w:after="80"/>
        <w:ind w:left="504" w:hanging="259"/>
      </w:pPr>
      <w:r>
        <w:t>Create Awesome CRM trigger link and click workflow.</w:t>
      </w:r>
    </w:p>
    <w:p>
      <w:pPr>
        <w:pStyle w:val="ListBullet"/>
        <w:spacing w:after="80"/>
        <w:ind w:left="504" w:hanging="259"/>
      </w:pPr>
      <w:r>
        <w:t>Test incognito, mobile, desktop, and download permissions.</w:t>
      </w:r>
    </w:p>
    <w:p>
      <w:pPr>
        <w:pStyle w:val="ListBullet"/>
        <w:spacing w:after="80"/>
        <w:ind w:left="504" w:hanging="259"/>
      </w:pPr>
      <w:r>
        <w:t>Add version date and disclaimer.</w:t>
      </w:r>
    </w:p>
    <w:p>
      <w:pPr>
        <w:pStyle w:val="ListBullet"/>
        <w:spacing w:after="80"/>
        <w:ind w:left="504" w:hanging="259"/>
      </w:pPr>
      <w:r>
        <w:t>Set monthly metrics review.</w:t>
      </w:r>
    </w:p>
    <w:p>
      <w:pPr>
        <w:pStyle w:val="Heading1"/>
      </w:pPr>
      <w:r>
        <w:t>Sources for tracking guidance</w:t>
      </w:r>
    </w:p>
    <w:p>
      <w:r>
        <w:rPr>
          <w:b/>
        </w:rPr>
        <w:t xml:space="preserve">HighLevel — Trigger Links Overview. </w:t>
      </w:r>
      <w:r>
        <w:t>https://help.gohighlevel.com/support/solutions/articles/48000981404-trigger-links-overview</w:t>
      </w:r>
    </w:p>
    <w:p>
      <w:r>
        <w:rPr>
          <w:b/>
        </w:rPr>
        <w:t xml:space="preserve">HighLevel — Workflow Trigger: Trigger Link Clicked. </w:t>
      </w:r>
      <w:r>
        <w:t>https://help.gohighlevel.com/support/solutions/articles/155000003263-workflow-trigger-trigger-link-clicked</w:t>
      </w:r>
    </w:p>
    <w:p>
      <w:r>
        <w:rPr>
          <w:b/>
        </w:rPr>
        <w:t xml:space="preserve">Google Analytics — Enhanced Measurement. </w:t>
      </w:r>
      <w:r>
        <w:t>https://support.google.com/analytics/answer/9216061</w:t>
      </w:r>
    </w:p>
    <w:sectPr w:rsidR="00FC693F" w:rsidRPr="0006063C" w:rsidSect="00034616">
      <w:headerReference w:type="default" r:id="rId9"/>
      <w:footerReference w:type="default" r:id="rId10"/>
      <w:pgSz w:w="12240" w:h="15840"/>
      <w:pgMar w:top="1080" w:right="1152" w:bottom="1008" w:left="1152"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617386"/>
        <w:sz w:val="16"/>
      </w:rPr>
      <w:t>Agents in the Community™  |  Team Elite Agency Marketing</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Aptos" w:hAnsi="Aptos"/>
        <w:b/>
        <w:color w:val="617386"/>
        <w:sz w:val="16"/>
      </w:rPr>
      <w:t>INSURANCE 101 STARTER KIT — WEBSITE &amp; EMAIL LAUNCH</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69" w:lineRule="auto"/>
    </w:pPr>
    <w:rPr>
      <w:rFonts w:ascii="Aptos" w:hAnsi="Aptos"/>
      <w:color w:val="17212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Aptos Display" w:hAnsi="Aptos Display"/>
      <w:b/>
      <w:bCs/>
      <w:color w:val="132A44"/>
      <w:sz w:val="36"/>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Aptos" w:hAnsi="Aptos"/>
      <w:b/>
      <w:bCs/>
      <w:color w:val="1E557A"/>
      <w:sz w:val="26"/>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Aptos" w:hAnsi="Aptos"/>
      <w:b/>
      <w:bCs/>
      <w:color w:val="E7674C"/>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132A44"/>
      <w:spacing w:val="5"/>
      <w:kern w:val="28"/>
      <w:sz w:val="5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40"/>
    </w:pPr>
    <w:rPr>
      <w:rFonts w:asciiTheme="majorHAnsi" w:eastAsiaTheme="majorEastAsia" w:hAnsiTheme="majorHAnsi" w:cstheme="majorBidi" w:ascii="Aptos" w:hAnsi="Aptos"/>
      <w:b w:val="0"/>
      <w:i/>
      <w:iCs/>
      <w:color w:val="617386"/>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