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A44B1" w14:textId="2FA40244" w:rsidR="0033113E" w:rsidRDefault="0033113E">
      <w:pPr>
        <w:rPr>
          <w:rFonts w:ascii="Times New Roman" w:hAnsi="Times New Roman" w:cs="Times New Roman"/>
        </w:rPr>
      </w:pPr>
      <w:r>
        <w:rPr>
          <w:rFonts w:ascii="Times New Roman" w:hAnsi="Times New Roman" w:cs="Times New Roman"/>
        </w:rPr>
        <w:t xml:space="preserve">The </w:t>
      </w:r>
      <w:r w:rsidR="005E10FE">
        <w:rPr>
          <w:rFonts w:ascii="Times New Roman" w:hAnsi="Times New Roman" w:cs="Times New Roman"/>
        </w:rPr>
        <w:t xml:space="preserve">2025 </w:t>
      </w:r>
      <w:r w:rsidR="00374ED4">
        <w:rPr>
          <w:rFonts w:ascii="Times New Roman" w:hAnsi="Times New Roman" w:cs="Times New Roman"/>
        </w:rPr>
        <w:t xml:space="preserve">Directors of the Texas Masonic Charity Foundation </w:t>
      </w:r>
      <w:r w:rsidR="005E10FE">
        <w:rPr>
          <w:rFonts w:ascii="Times New Roman" w:hAnsi="Times New Roman" w:cs="Times New Roman"/>
        </w:rPr>
        <w:t xml:space="preserve">(Foundation) </w:t>
      </w:r>
      <w:r w:rsidR="00374ED4">
        <w:rPr>
          <w:rFonts w:ascii="Times New Roman" w:hAnsi="Times New Roman" w:cs="Times New Roman"/>
        </w:rPr>
        <w:t>are as follows:  Cody Cockroft (President), Craig Enderli</w:t>
      </w:r>
      <w:r w:rsidR="00752232">
        <w:rPr>
          <w:rFonts w:ascii="Times New Roman" w:hAnsi="Times New Roman" w:cs="Times New Roman"/>
        </w:rPr>
        <w:t xml:space="preserve"> (Vice President), Ronnie Wise (Treasurer), William Teague (Secretary), Jay Hollowell, Sam Gibbins, and Jerry Bob Daniel.</w:t>
      </w:r>
    </w:p>
    <w:p w14:paraId="12973B7E" w14:textId="7D0F13AE" w:rsidR="00AD6FA7" w:rsidRPr="00CC7AA0" w:rsidRDefault="005E10FE">
      <w:pPr>
        <w:rPr>
          <w:rFonts w:ascii="Times New Roman" w:hAnsi="Times New Roman" w:cs="Times New Roman"/>
        </w:rPr>
      </w:pPr>
      <w:r>
        <w:rPr>
          <w:rFonts w:ascii="Times New Roman" w:hAnsi="Times New Roman" w:cs="Times New Roman"/>
        </w:rPr>
        <w:t xml:space="preserve">In </w:t>
      </w:r>
      <w:r w:rsidR="006955F8">
        <w:rPr>
          <w:rFonts w:ascii="Times New Roman" w:hAnsi="Times New Roman" w:cs="Times New Roman"/>
        </w:rPr>
        <w:t>2025, t</w:t>
      </w:r>
      <w:r w:rsidR="00444C8A" w:rsidRPr="00CC7AA0">
        <w:rPr>
          <w:rFonts w:ascii="Times New Roman" w:hAnsi="Times New Roman" w:cs="Times New Roman"/>
        </w:rPr>
        <w:t xml:space="preserve">he Foundation </w:t>
      </w:r>
      <w:r w:rsidR="007A5660" w:rsidRPr="00CC7AA0">
        <w:rPr>
          <w:rFonts w:ascii="Times New Roman" w:hAnsi="Times New Roman" w:cs="Times New Roman"/>
        </w:rPr>
        <w:t xml:space="preserve">recognized </w:t>
      </w:r>
      <w:r w:rsidR="006955F8">
        <w:rPr>
          <w:rFonts w:ascii="Times New Roman" w:hAnsi="Times New Roman" w:cs="Times New Roman"/>
        </w:rPr>
        <w:t xml:space="preserve">positive </w:t>
      </w:r>
      <w:r w:rsidR="007A5660" w:rsidRPr="00CC7AA0">
        <w:rPr>
          <w:rFonts w:ascii="Times New Roman" w:hAnsi="Times New Roman" w:cs="Times New Roman"/>
        </w:rPr>
        <w:t>benefits</w:t>
      </w:r>
      <w:r w:rsidR="001F5707" w:rsidRPr="00CC7AA0">
        <w:rPr>
          <w:rFonts w:ascii="Times New Roman" w:hAnsi="Times New Roman" w:cs="Times New Roman"/>
        </w:rPr>
        <w:t xml:space="preserve"> of the Volunteer with Temporary Labor Opera</w:t>
      </w:r>
      <w:r w:rsidR="00D10F86" w:rsidRPr="00CC7AA0">
        <w:rPr>
          <w:rFonts w:ascii="Times New Roman" w:hAnsi="Times New Roman" w:cs="Times New Roman"/>
        </w:rPr>
        <w:t>tional Model.</w:t>
      </w:r>
      <w:r w:rsidR="00444C8A" w:rsidRPr="00CC7AA0">
        <w:rPr>
          <w:rFonts w:ascii="Times New Roman" w:hAnsi="Times New Roman" w:cs="Times New Roman"/>
        </w:rPr>
        <w:t xml:space="preserve">  </w:t>
      </w:r>
      <w:r w:rsidR="00075187" w:rsidRPr="00CC7AA0">
        <w:rPr>
          <w:rFonts w:ascii="Times New Roman" w:hAnsi="Times New Roman" w:cs="Times New Roman"/>
        </w:rPr>
        <w:t xml:space="preserve">The Foundation’s </w:t>
      </w:r>
      <w:r w:rsidR="00777E15" w:rsidRPr="00CC7AA0">
        <w:rPr>
          <w:rFonts w:ascii="Times New Roman" w:hAnsi="Times New Roman" w:cs="Times New Roman"/>
        </w:rPr>
        <w:t xml:space="preserve">total </w:t>
      </w:r>
      <w:r w:rsidR="00075187" w:rsidRPr="00CC7AA0">
        <w:rPr>
          <w:rFonts w:ascii="Times New Roman" w:hAnsi="Times New Roman" w:cs="Times New Roman"/>
        </w:rPr>
        <w:t>financial position increased from</w:t>
      </w:r>
      <w:r w:rsidR="001B2767" w:rsidRPr="00CC7AA0">
        <w:rPr>
          <w:rFonts w:ascii="Times New Roman" w:hAnsi="Times New Roman" w:cs="Times New Roman"/>
        </w:rPr>
        <w:t xml:space="preserve"> $8,659,827 to $9,619,951</w:t>
      </w:r>
      <w:r w:rsidR="00777E15" w:rsidRPr="00CC7AA0">
        <w:rPr>
          <w:rFonts w:ascii="Times New Roman" w:hAnsi="Times New Roman" w:cs="Times New Roman"/>
        </w:rPr>
        <w:t xml:space="preserve"> (or 11%)</w:t>
      </w:r>
      <w:r w:rsidR="00E90177">
        <w:rPr>
          <w:rFonts w:ascii="Times New Roman" w:hAnsi="Times New Roman" w:cs="Times New Roman"/>
        </w:rPr>
        <w:t xml:space="preserve"> between January 1, </w:t>
      </w:r>
      <w:r w:rsidR="00A035FA">
        <w:rPr>
          <w:rFonts w:ascii="Times New Roman" w:hAnsi="Times New Roman" w:cs="Times New Roman"/>
        </w:rPr>
        <w:t>2025,</w:t>
      </w:r>
      <w:r w:rsidR="00E90177">
        <w:rPr>
          <w:rFonts w:ascii="Times New Roman" w:hAnsi="Times New Roman" w:cs="Times New Roman"/>
        </w:rPr>
        <w:t xml:space="preserve"> and Decem</w:t>
      </w:r>
      <w:r w:rsidR="00243AAA">
        <w:rPr>
          <w:rFonts w:ascii="Times New Roman" w:hAnsi="Times New Roman" w:cs="Times New Roman"/>
        </w:rPr>
        <w:t>ber 31, 2025</w:t>
      </w:r>
      <w:r w:rsidR="00777E15" w:rsidRPr="00CC7AA0">
        <w:rPr>
          <w:rFonts w:ascii="Times New Roman" w:hAnsi="Times New Roman" w:cs="Times New Roman"/>
        </w:rPr>
        <w:t xml:space="preserve">.  </w:t>
      </w:r>
      <w:r w:rsidR="00554D32" w:rsidRPr="00CC7AA0">
        <w:rPr>
          <w:rFonts w:ascii="Times New Roman" w:hAnsi="Times New Roman" w:cs="Times New Roman"/>
        </w:rPr>
        <w:t>This includes</w:t>
      </w:r>
      <w:r w:rsidR="00DF7774" w:rsidRPr="00CC7AA0">
        <w:rPr>
          <w:rFonts w:ascii="Times New Roman" w:hAnsi="Times New Roman" w:cs="Times New Roman"/>
        </w:rPr>
        <w:t xml:space="preserve"> </w:t>
      </w:r>
      <w:r w:rsidR="00B37236">
        <w:rPr>
          <w:rFonts w:ascii="Times New Roman" w:hAnsi="Times New Roman" w:cs="Times New Roman"/>
        </w:rPr>
        <w:t>the</w:t>
      </w:r>
      <w:r w:rsidR="00DF7774" w:rsidRPr="00CC7AA0">
        <w:rPr>
          <w:rFonts w:ascii="Times New Roman" w:hAnsi="Times New Roman" w:cs="Times New Roman"/>
        </w:rPr>
        <w:t xml:space="preserve"> general operating accounts and </w:t>
      </w:r>
      <w:r w:rsidR="00B37236">
        <w:rPr>
          <w:rFonts w:ascii="Times New Roman" w:hAnsi="Times New Roman" w:cs="Times New Roman"/>
        </w:rPr>
        <w:t xml:space="preserve">the </w:t>
      </w:r>
      <w:r w:rsidR="00DF7774" w:rsidRPr="00CC7AA0">
        <w:rPr>
          <w:rFonts w:ascii="Times New Roman" w:hAnsi="Times New Roman" w:cs="Times New Roman"/>
        </w:rPr>
        <w:t>restricted accounts</w:t>
      </w:r>
      <w:r w:rsidR="001B2D69" w:rsidRPr="00CC7AA0">
        <w:rPr>
          <w:rFonts w:ascii="Times New Roman" w:hAnsi="Times New Roman" w:cs="Times New Roman"/>
        </w:rPr>
        <w:t xml:space="preserve">.  </w:t>
      </w:r>
      <w:r w:rsidR="007F04C0" w:rsidRPr="00CC7AA0">
        <w:rPr>
          <w:rFonts w:ascii="Times New Roman" w:hAnsi="Times New Roman" w:cs="Times New Roman"/>
        </w:rPr>
        <w:t xml:space="preserve">The </w:t>
      </w:r>
      <w:r w:rsidR="00DB3374" w:rsidRPr="00CC7AA0">
        <w:rPr>
          <w:rFonts w:ascii="Times New Roman" w:hAnsi="Times New Roman" w:cs="Times New Roman"/>
        </w:rPr>
        <w:t xml:space="preserve">total fundraising for general purposes </w:t>
      </w:r>
      <w:r w:rsidR="006F026A" w:rsidRPr="00CC7AA0">
        <w:rPr>
          <w:rFonts w:ascii="Times New Roman" w:hAnsi="Times New Roman" w:cs="Times New Roman"/>
        </w:rPr>
        <w:t>amounted to</w:t>
      </w:r>
      <w:r w:rsidR="00FE676B" w:rsidRPr="00CC7AA0">
        <w:rPr>
          <w:rFonts w:ascii="Times New Roman" w:hAnsi="Times New Roman" w:cs="Times New Roman"/>
        </w:rPr>
        <w:t xml:space="preserve"> $8</w:t>
      </w:r>
      <w:r w:rsidR="004B3DF5" w:rsidRPr="00CC7AA0">
        <w:rPr>
          <w:rFonts w:ascii="Times New Roman" w:hAnsi="Times New Roman" w:cs="Times New Roman"/>
        </w:rPr>
        <w:t>13</w:t>
      </w:r>
      <w:r w:rsidR="00FE676B" w:rsidRPr="00CC7AA0">
        <w:rPr>
          <w:rFonts w:ascii="Times New Roman" w:hAnsi="Times New Roman" w:cs="Times New Roman"/>
        </w:rPr>
        <w:t>,</w:t>
      </w:r>
      <w:r w:rsidR="00D769D1" w:rsidRPr="00CC7AA0">
        <w:rPr>
          <w:rFonts w:ascii="Times New Roman" w:hAnsi="Times New Roman" w:cs="Times New Roman"/>
        </w:rPr>
        <w:t>247</w:t>
      </w:r>
      <w:r w:rsidR="00A842E4" w:rsidRPr="00CC7AA0">
        <w:rPr>
          <w:rFonts w:ascii="Times New Roman" w:hAnsi="Times New Roman" w:cs="Times New Roman"/>
        </w:rPr>
        <w:t xml:space="preserve"> which is </w:t>
      </w:r>
      <w:r w:rsidR="00D769D1" w:rsidRPr="00CC7AA0">
        <w:rPr>
          <w:rFonts w:ascii="Times New Roman" w:hAnsi="Times New Roman" w:cs="Times New Roman"/>
        </w:rPr>
        <w:t>categorized as follows</w:t>
      </w:r>
      <w:r w:rsidR="00A842E4" w:rsidRPr="00CC7AA0">
        <w:rPr>
          <w:rFonts w:ascii="Times New Roman" w:hAnsi="Times New Roman" w:cs="Times New Roman"/>
        </w:rPr>
        <w:t>:</w:t>
      </w:r>
    </w:p>
    <w:tbl>
      <w:tblPr>
        <w:tblStyle w:val="TableGrid"/>
        <w:tblW w:w="0" w:type="auto"/>
        <w:tblLook w:val="04A0" w:firstRow="1" w:lastRow="0" w:firstColumn="1" w:lastColumn="0" w:noHBand="0" w:noVBand="1"/>
      </w:tblPr>
      <w:tblGrid>
        <w:gridCol w:w="1775"/>
        <w:gridCol w:w="2025"/>
        <w:gridCol w:w="1595"/>
        <w:gridCol w:w="2160"/>
        <w:gridCol w:w="1795"/>
      </w:tblGrid>
      <w:tr w:rsidR="007F725E" w14:paraId="2494C555" w14:textId="79758921" w:rsidTr="00B37236">
        <w:tc>
          <w:tcPr>
            <w:tcW w:w="1775" w:type="dxa"/>
          </w:tcPr>
          <w:p w14:paraId="2DD0CADD" w14:textId="559F1E73" w:rsidR="007F725E" w:rsidRPr="00142486" w:rsidRDefault="007F725E" w:rsidP="004B3DF5">
            <w:pPr>
              <w:jc w:val="center"/>
              <w:rPr>
                <w:rFonts w:ascii="Times New Roman" w:hAnsi="Times New Roman" w:cs="Times New Roman"/>
                <w:b/>
                <w:bCs/>
              </w:rPr>
            </w:pPr>
            <w:r w:rsidRPr="00142486">
              <w:rPr>
                <w:rFonts w:ascii="Times New Roman" w:hAnsi="Times New Roman" w:cs="Times New Roman"/>
                <w:b/>
                <w:bCs/>
              </w:rPr>
              <w:t>Description</w:t>
            </w:r>
          </w:p>
        </w:tc>
        <w:tc>
          <w:tcPr>
            <w:tcW w:w="2025" w:type="dxa"/>
          </w:tcPr>
          <w:p w14:paraId="13163647" w14:textId="508A6DF9" w:rsidR="007F725E" w:rsidRPr="00142486" w:rsidRDefault="007F725E" w:rsidP="004B3DF5">
            <w:pPr>
              <w:jc w:val="center"/>
              <w:rPr>
                <w:rFonts w:ascii="Times New Roman" w:hAnsi="Times New Roman" w:cs="Times New Roman"/>
                <w:b/>
                <w:bCs/>
              </w:rPr>
            </w:pPr>
            <w:r w:rsidRPr="00142486">
              <w:rPr>
                <w:rFonts w:ascii="Times New Roman" w:hAnsi="Times New Roman" w:cs="Times New Roman"/>
                <w:b/>
                <w:bCs/>
              </w:rPr>
              <w:t>Grand Master</w:t>
            </w:r>
            <w:r w:rsidR="0089549F" w:rsidRPr="00142486">
              <w:rPr>
                <w:rFonts w:ascii="Times New Roman" w:hAnsi="Times New Roman" w:cs="Times New Roman"/>
                <w:b/>
                <w:bCs/>
              </w:rPr>
              <w:t>/</w:t>
            </w:r>
            <w:r w:rsidRPr="00142486">
              <w:rPr>
                <w:rFonts w:ascii="Times New Roman" w:hAnsi="Times New Roman" w:cs="Times New Roman"/>
                <w:b/>
                <w:bCs/>
              </w:rPr>
              <w:t xml:space="preserve"> First Lady</w:t>
            </w:r>
            <w:r w:rsidR="0089549F" w:rsidRPr="00142486">
              <w:rPr>
                <w:rFonts w:ascii="Times New Roman" w:hAnsi="Times New Roman" w:cs="Times New Roman"/>
                <w:b/>
                <w:bCs/>
              </w:rPr>
              <w:t xml:space="preserve"> &amp; Merchandise</w:t>
            </w:r>
          </w:p>
        </w:tc>
        <w:tc>
          <w:tcPr>
            <w:tcW w:w="1595" w:type="dxa"/>
          </w:tcPr>
          <w:p w14:paraId="562D0F1E" w14:textId="64832C05" w:rsidR="007F725E" w:rsidRPr="00142486" w:rsidRDefault="007F725E" w:rsidP="004B3DF5">
            <w:pPr>
              <w:jc w:val="center"/>
              <w:rPr>
                <w:rFonts w:ascii="Times New Roman" w:hAnsi="Times New Roman" w:cs="Times New Roman"/>
                <w:b/>
                <w:bCs/>
              </w:rPr>
            </w:pPr>
            <w:r w:rsidRPr="00142486">
              <w:rPr>
                <w:rFonts w:ascii="Times New Roman" w:hAnsi="Times New Roman" w:cs="Times New Roman"/>
                <w:b/>
                <w:bCs/>
              </w:rPr>
              <w:t>GLOT Per Capita</w:t>
            </w:r>
          </w:p>
        </w:tc>
        <w:tc>
          <w:tcPr>
            <w:tcW w:w="2160" w:type="dxa"/>
          </w:tcPr>
          <w:p w14:paraId="19A9DD20" w14:textId="734D18D1" w:rsidR="007F725E" w:rsidRPr="00142486" w:rsidRDefault="007F725E" w:rsidP="004B3DF5">
            <w:pPr>
              <w:jc w:val="center"/>
              <w:rPr>
                <w:rFonts w:ascii="Times New Roman" w:hAnsi="Times New Roman" w:cs="Times New Roman"/>
                <w:b/>
                <w:bCs/>
              </w:rPr>
            </w:pPr>
            <w:r w:rsidRPr="00142486">
              <w:rPr>
                <w:rFonts w:ascii="Times New Roman" w:hAnsi="Times New Roman" w:cs="Times New Roman"/>
                <w:b/>
                <w:bCs/>
              </w:rPr>
              <w:t>Square &amp; Compass Holding</w:t>
            </w:r>
          </w:p>
        </w:tc>
        <w:tc>
          <w:tcPr>
            <w:tcW w:w="1795" w:type="dxa"/>
          </w:tcPr>
          <w:p w14:paraId="2D1ABBD6" w14:textId="115A9359" w:rsidR="007F725E" w:rsidRPr="00142486" w:rsidRDefault="007F725E" w:rsidP="004B3DF5">
            <w:pPr>
              <w:jc w:val="center"/>
              <w:rPr>
                <w:rFonts w:ascii="Times New Roman" w:hAnsi="Times New Roman" w:cs="Times New Roman"/>
                <w:b/>
                <w:bCs/>
              </w:rPr>
            </w:pPr>
            <w:r w:rsidRPr="00142486">
              <w:rPr>
                <w:rFonts w:ascii="Times New Roman" w:hAnsi="Times New Roman" w:cs="Times New Roman"/>
                <w:b/>
                <w:bCs/>
              </w:rPr>
              <w:t>General Donation</w:t>
            </w:r>
            <w:r w:rsidR="00B37236">
              <w:rPr>
                <w:rFonts w:ascii="Times New Roman" w:hAnsi="Times New Roman" w:cs="Times New Roman"/>
                <w:b/>
                <w:bCs/>
              </w:rPr>
              <w:t>s</w:t>
            </w:r>
          </w:p>
        </w:tc>
      </w:tr>
      <w:tr w:rsidR="007F725E" w14:paraId="654F0145" w14:textId="1AF5EE06" w:rsidTr="00B37236">
        <w:tc>
          <w:tcPr>
            <w:tcW w:w="1775" w:type="dxa"/>
          </w:tcPr>
          <w:p w14:paraId="4A191CD3" w14:textId="2BDE1F37" w:rsidR="007F725E" w:rsidRPr="00646B34" w:rsidRDefault="007F725E" w:rsidP="004B3DF5">
            <w:pPr>
              <w:jc w:val="center"/>
              <w:rPr>
                <w:rFonts w:ascii="Times New Roman" w:hAnsi="Times New Roman" w:cs="Times New Roman"/>
                <w:b/>
                <w:bCs/>
              </w:rPr>
            </w:pPr>
            <w:r w:rsidRPr="00646B34">
              <w:rPr>
                <w:rFonts w:ascii="Times New Roman" w:hAnsi="Times New Roman" w:cs="Times New Roman"/>
                <w:b/>
                <w:bCs/>
              </w:rPr>
              <w:t>Value</w:t>
            </w:r>
          </w:p>
        </w:tc>
        <w:tc>
          <w:tcPr>
            <w:tcW w:w="2025" w:type="dxa"/>
          </w:tcPr>
          <w:p w14:paraId="7A6303E6" w14:textId="74CCC828" w:rsidR="007F725E" w:rsidRPr="00142486" w:rsidRDefault="007F725E" w:rsidP="004B3DF5">
            <w:pPr>
              <w:jc w:val="center"/>
              <w:rPr>
                <w:rFonts w:ascii="Times New Roman" w:hAnsi="Times New Roman" w:cs="Times New Roman"/>
              </w:rPr>
            </w:pPr>
            <w:r w:rsidRPr="00142486">
              <w:rPr>
                <w:rFonts w:ascii="Times New Roman" w:hAnsi="Times New Roman" w:cs="Times New Roman"/>
              </w:rPr>
              <w:t>$11,544</w:t>
            </w:r>
          </w:p>
        </w:tc>
        <w:tc>
          <w:tcPr>
            <w:tcW w:w="1595" w:type="dxa"/>
          </w:tcPr>
          <w:p w14:paraId="43998D55" w14:textId="5254929B" w:rsidR="007F725E" w:rsidRPr="00142486" w:rsidRDefault="007F725E" w:rsidP="004B3DF5">
            <w:pPr>
              <w:jc w:val="center"/>
              <w:rPr>
                <w:rFonts w:ascii="Times New Roman" w:hAnsi="Times New Roman" w:cs="Times New Roman"/>
              </w:rPr>
            </w:pPr>
            <w:r w:rsidRPr="00142486">
              <w:rPr>
                <w:rFonts w:ascii="Times New Roman" w:hAnsi="Times New Roman" w:cs="Times New Roman"/>
              </w:rPr>
              <w:t>$211,319</w:t>
            </w:r>
          </w:p>
        </w:tc>
        <w:tc>
          <w:tcPr>
            <w:tcW w:w="2160" w:type="dxa"/>
          </w:tcPr>
          <w:p w14:paraId="74CFDC9A" w14:textId="2DCFF5EC" w:rsidR="007F725E" w:rsidRPr="00142486" w:rsidRDefault="007F725E" w:rsidP="004B3DF5">
            <w:pPr>
              <w:jc w:val="center"/>
              <w:rPr>
                <w:rFonts w:ascii="Times New Roman" w:hAnsi="Times New Roman" w:cs="Times New Roman"/>
              </w:rPr>
            </w:pPr>
            <w:r w:rsidRPr="00142486">
              <w:rPr>
                <w:rFonts w:ascii="Times New Roman" w:hAnsi="Times New Roman" w:cs="Times New Roman"/>
              </w:rPr>
              <w:t>$580,000</w:t>
            </w:r>
          </w:p>
        </w:tc>
        <w:tc>
          <w:tcPr>
            <w:tcW w:w="1795" w:type="dxa"/>
          </w:tcPr>
          <w:p w14:paraId="67B90DC8" w14:textId="56DA80DE" w:rsidR="007F725E" w:rsidRPr="00142486" w:rsidRDefault="007B5624" w:rsidP="004B3DF5">
            <w:pPr>
              <w:jc w:val="center"/>
              <w:rPr>
                <w:rFonts w:ascii="Times New Roman" w:hAnsi="Times New Roman" w:cs="Times New Roman"/>
              </w:rPr>
            </w:pPr>
            <w:r w:rsidRPr="00142486">
              <w:rPr>
                <w:rFonts w:ascii="Times New Roman" w:hAnsi="Times New Roman" w:cs="Times New Roman"/>
              </w:rPr>
              <w:t>$10,383</w:t>
            </w:r>
          </w:p>
        </w:tc>
      </w:tr>
      <w:tr w:rsidR="007F725E" w14:paraId="30A7F6AA" w14:textId="6609F4CF" w:rsidTr="00B37236">
        <w:tc>
          <w:tcPr>
            <w:tcW w:w="1775" w:type="dxa"/>
          </w:tcPr>
          <w:p w14:paraId="22D15520" w14:textId="31C1EBD8" w:rsidR="007F725E" w:rsidRPr="00646B34" w:rsidRDefault="007F725E" w:rsidP="004B3DF5">
            <w:pPr>
              <w:jc w:val="center"/>
              <w:rPr>
                <w:rFonts w:ascii="Times New Roman" w:hAnsi="Times New Roman" w:cs="Times New Roman"/>
                <w:b/>
                <w:bCs/>
              </w:rPr>
            </w:pPr>
            <w:r w:rsidRPr="00646B34">
              <w:rPr>
                <w:rFonts w:ascii="Times New Roman" w:hAnsi="Times New Roman" w:cs="Times New Roman"/>
                <w:b/>
                <w:bCs/>
              </w:rPr>
              <w:t>Percentage</w:t>
            </w:r>
          </w:p>
        </w:tc>
        <w:tc>
          <w:tcPr>
            <w:tcW w:w="2025" w:type="dxa"/>
          </w:tcPr>
          <w:p w14:paraId="22F0A1B0" w14:textId="06853E97" w:rsidR="007F725E" w:rsidRPr="00142486" w:rsidRDefault="000A6BED" w:rsidP="004B3DF5">
            <w:pPr>
              <w:jc w:val="center"/>
              <w:rPr>
                <w:rFonts w:ascii="Times New Roman" w:hAnsi="Times New Roman" w:cs="Times New Roman"/>
              </w:rPr>
            </w:pPr>
            <w:r w:rsidRPr="00142486">
              <w:rPr>
                <w:rFonts w:ascii="Times New Roman" w:hAnsi="Times New Roman" w:cs="Times New Roman"/>
              </w:rPr>
              <w:t>1</w:t>
            </w:r>
            <w:r w:rsidR="00F11942" w:rsidRPr="00142486">
              <w:rPr>
                <w:rFonts w:ascii="Times New Roman" w:hAnsi="Times New Roman" w:cs="Times New Roman"/>
              </w:rPr>
              <w:t>.</w:t>
            </w:r>
            <w:r w:rsidRPr="00142486">
              <w:rPr>
                <w:rFonts w:ascii="Times New Roman" w:hAnsi="Times New Roman" w:cs="Times New Roman"/>
              </w:rPr>
              <w:t>4</w:t>
            </w:r>
            <w:r w:rsidR="003959F8">
              <w:rPr>
                <w:rFonts w:ascii="Times New Roman" w:hAnsi="Times New Roman" w:cs="Times New Roman"/>
              </w:rPr>
              <w:t>2</w:t>
            </w:r>
            <w:r w:rsidRPr="00142486">
              <w:rPr>
                <w:rFonts w:ascii="Times New Roman" w:hAnsi="Times New Roman" w:cs="Times New Roman"/>
              </w:rPr>
              <w:t>%</w:t>
            </w:r>
          </w:p>
        </w:tc>
        <w:tc>
          <w:tcPr>
            <w:tcW w:w="1595" w:type="dxa"/>
          </w:tcPr>
          <w:p w14:paraId="0477ACD1" w14:textId="52838812" w:rsidR="007F725E" w:rsidRPr="00142486" w:rsidRDefault="00492E78" w:rsidP="004B3DF5">
            <w:pPr>
              <w:jc w:val="center"/>
              <w:rPr>
                <w:rFonts w:ascii="Times New Roman" w:hAnsi="Times New Roman" w:cs="Times New Roman"/>
              </w:rPr>
            </w:pPr>
            <w:r>
              <w:rPr>
                <w:rFonts w:ascii="Times New Roman" w:hAnsi="Times New Roman" w:cs="Times New Roman"/>
              </w:rPr>
              <w:t>2</w:t>
            </w:r>
            <w:r w:rsidR="003959F8">
              <w:rPr>
                <w:rFonts w:ascii="Times New Roman" w:hAnsi="Times New Roman" w:cs="Times New Roman"/>
              </w:rPr>
              <w:t>5.98</w:t>
            </w:r>
            <w:r w:rsidR="000A6BED" w:rsidRPr="00142486">
              <w:rPr>
                <w:rFonts w:ascii="Times New Roman" w:hAnsi="Times New Roman" w:cs="Times New Roman"/>
              </w:rPr>
              <w:t>%</w:t>
            </w:r>
          </w:p>
        </w:tc>
        <w:tc>
          <w:tcPr>
            <w:tcW w:w="2160" w:type="dxa"/>
          </w:tcPr>
          <w:p w14:paraId="7E2D7329" w14:textId="54D3AA92" w:rsidR="007F725E" w:rsidRPr="00142486" w:rsidRDefault="00F11942" w:rsidP="004B3DF5">
            <w:pPr>
              <w:jc w:val="center"/>
              <w:rPr>
                <w:rFonts w:ascii="Times New Roman" w:hAnsi="Times New Roman" w:cs="Times New Roman"/>
              </w:rPr>
            </w:pPr>
            <w:r w:rsidRPr="00142486">
              <w:rPr>
                <w:rFonts w:ascii="Times New Roman" w:hAnsi="Times New Roman" w:cs="Times New Roman"/>
              </w:rPr>
              <w:t>71</w:t>
            </w:r>
            <w:r w:rsidR="003959F8">
              <w:rPr>
                <w:rFonts w:ascii="Times New Roman" w:hAnsi="Times New Roman" w:cs="Times New Roman"/>
              </w:rPr>
              <w:t>.32</w:t>
            </w:r>
            <w:r w:rsidRPr="00142486">
              <w:rPr>
                <w:rFonts w:ascii="Times New Roman" w:hAnsi="Times New Roman" w:cs="Times New Roman"/>
              </w:rPr>
              <w:t>%</w:t>
            </w:r>
          </w:p>
        </w:tc>
        <w:tc>
          <w:tcPr>
            <w:tcW w:w="1795" w:type="dxa"/>
          </w:tcPr>
          <w:p w14:paraId="2701A6A2" w14:textId="4D38F427" w:rsidR="007F725E" w:rsidRPr="00142486" w:rsidRDefault="00F11942" w:rsidP="004B3DF5">
            <w:pPr>
              <w:jc w:val="center"/>
              <w:rPr>
                <w:rFonts w:ascii="Times New Roman" w:hAnsi="Times New Roman" w:cs="Times New Roman"/>
              </w:rPr>
            </w:pPr>
            <w:r w:rsidRPr="00142486">
              <w:rPr>
                <w:rFonts w:ascii="Times New Roman" w:hAnsi="Times New Roman" w:cs="Times New Roman"/>
              </w:rPr>
              <w:t>1.</w:t>
            </w:r>
            <w:r w:rsidR="003959F8">
              <w:rPr>
                <w:rFonts w:ascii="Times New Roman" w:hAnsi="Times New Roman" w:cs="Times New Roman"/>
              </w:rPr>
              <w:t>28</w:t>
            </w:r>
            <w:r w:rsidRPr="00142486">
              <w:rPr>
                <w:rFonts w:ascii="Times New Roman" w:hAnsi="Times New Roman" w:cs="Times New Roman"/>
              </w:rPr>
              <w:t>%</w:t>
            </w:r>
          </w:p>
        </w:tc>
      </w:tr>
    </w:tbl>
    <w:p w14:paraId="3F430B0F" w14:textId="7CCCA743" w:rsidR="00876298" w:rsidRPr="0049672C" w:rsidRDefault="0049672C" w:rsidP="0049672C">
      <w:pPr>
        <w:jc w:val="center"/>
        <w:rPr>
          <w:rFonts w:ascii="Times New Roman" w:hAnsi="Times New Roman" w:cs="Times New Roman"/>
          <w:b/>
          <w:bCs/>
        </w:rPr>
      </w:pPr>
      <w:r w:rsidRPr="0049672C">
        <w:rPr>
          <w:rFonts w:ascii="Times New Roman" w:hAnsi="Times New Roman" w:cs="Times New Roman"/>
          <w:b/>
          <w:bCs/>
        </w:rPr>
        <w:t xml:space="preserve">Table 1: </w:t>
      </w:r>
      <w:r w:rsidR="00345F6E">
        <w:rPr>
          <w:rFonts w:ascii="Times New Roman" w:hAnsi="Times New Roman" w:cs="Times New Roman"/>
          <w:b/>
          <w:bCs/>
        </w:rPr>
        <w:t xml:space="preserve">General </w:t>
      </w:r>
      <w:r w:rsidRPr="0049672C">
        <w:rPr>
          <w:rFonts w:ascii="Times New Roman" w:hAnsi="Times New Roman" w:cs="Times New Roman"/>
          <w:b/>
          <w:bCs/>
        </w:rPr>
        <w:t>Fundraising Summary</w:t>
      </w:r>
    </w:p>
    <w:p w14:paraId="237EEB0A" w14:textId="2A127AA1" w:rsidR="006A5E99" w:rsidRPr="00142486" w:rsidRDefault="006A5E99" w:rsidP="00C76BB4">
      <w:pPr>
        <w:rPr>
          <w:rFonts w:ascii="Times New Roman" w:hAnsi="Times New Roman" w:cs="Times New Roman"/>
        </w:rPr>
      </w:pPr>
      <w:r w:rsidRPr="00142486">
        <w:rPr>
          <w:rFonts w:ascii="Times New Roman" w:hAnsi="Times New Roman" w:cs="Times New Roman"/>
        </w:rPr>
        <w:t xml:space="preserve">Expenses were </w:t>
      </w:r>
      <w:r w:rsidR="009A779F" w:rsidRPr="00142486">
        <w:rPr>
          <w:rFonts w:ascii="Times New Roman" w:hAnsi="Times New Roman" w:cs="Times New Roman"/>
        </w:rPr>
        <w:t>tightly</w:t>
      </w:r>
      <w:r w:rsidRPr="00142486">
        <w:rPr>
          <w:rFonts w:ascii="Times New Roman" w:hAnsi="Times New Roman" w:cs="Times New Roman"/>
        </w:rPr>
        <w:t xml:space="preserve"> managed.  The Foundation’s </w:t>
      </w:r>
      <w:r w:rsidR="00B94560" w:rsidRPr="00142486">
        <w:rPr>
          <w:rFonts w:ascii="Times New Roman" w:hAnsi="Times New Roman" w:cs="Times New Roman"/>
        </w:rPr>
        <w:t xml:space="preserve">general office, </w:t>
      </w:r>
      <w:r w:rsidR="00D42B65" w:rsidRPr="00142486">
        <w:rPr>
          <w:rFonts w:ascii="Times New Roman" w:hAnsi="Times New Roman" w:cs="Times New Roman"/>
        </w:rPr>
        <w:t xml:space="preserve">administrative and professional expenses </w:t>
      </w:r>
      <w:r w:rsidR="004544A6" w:rsidRPr="00142486">
        <w:rPr>
          <w:rFonts w:ascii="Times New Roman" w:hAnsi="Times New Roman" w:cs="Times New Roman"/>
        </w:rPr>
        <w:t>resulted in an overhead burden of</w:t>
      </w:r>
      <w:r w:rsidR="0015457A" w:rsidRPr="00142486">
        <w:rPr>
          <w:rFonts w:ascii="Times New Roman" w:hAnsi="Times New Roman" w:cs="Times New Roman"/>
        </w:rPr>
        <w:t xml:space="preserve"> </w:t>
      </w:r>
      <w:r w:rsidR="0072221A" w:rsidRPr="00142486">
        <w:rPr>
          <w:rFonts w:ascii="Times New Roman" w:hAnsi="Times New Roman" w:cs="Times New Roman"/>
        </w:rPr>
        <w:t>0.84%</w:t>
      </w:r>
      <w:r w:rsidR="002B5110" w:rsidRPr="00142486">
        <w:rPr>
          <w:rFonts w:ascii="Times New Roman" w:hAnsi="Times New Roman" w:cs="Times New Roman"/>
        </w:rPr>
        <w:t xml:space="preserve"> in relation to the Foundation’s total portfolio and </w:t>
      </w:r>
      <w:r w:rsidR="009459B0" w:rsidRPr="00142486">
        <w:rPr>
          <w:rFonts w:ascii="Times New Roman" w:hAnsi="Times New Roman" w:cs="Times New Roman"/>
        </w:rPr>
        <w:t>3.7</w:t>
      </w:r>
      <w:r w:rsidR="00CD1417" w:rsidRPr="00142486">
        <w:rPr>
          <w:rFonts w:ascii="Times New Roman" w:hAnsi="Times New Roman" w:cs="Times New Roman"/>
        </w:rPr>
        <w:t>%</w:t>
      </w:r>
      <w:r w:rsidR="005A6D58" w:rsidRPr="00142486">
        <w:rPr>
          <w:rFonts w:ascii="Times New Roman" w:hAnsi="Times New Roman" w:cs="Times New Roman"/>
        </w:rPr>
        <w:t xml:space="preserve"> aga</w:t>
      </w:r>
      <w:r w:rsidR="009459B0" w:rsidRPr="00142486">
        <w:rPr>
          <w:rFonts w:ascii="Times New Roman" w:hAnsi="Times New Roman" w:cs="Times New Roman"/>
        </w:rPr>
        <w:t xml:space="preserve">inst </w:t>
      </w:r>
      <w:r w:rsidR="0006110E" w:rsidRPr="00142486">
        <w:rPr>
          <w:rFonts w:ascii="Times New Roman" w:hAnsi="Times New Roman" w:cs="Times New Roman"/>
        </w:rPr>
        <w:t>total distributions.</w:t>
      </w:r>
      <w:r w:rsidR="00F95BEB" w:rsidRPr="00142486">
        <w:rPr>
          <w:rFonts w:ascii="Times New Roman" w:hAnsi="Times New Roman" w:cs="Times New Roman"/>
        </w:rPr>
        <w:t xml:space="preserve">  </w:t>
      </w:r>
      <w:r w:rsidR="00321400">
        <w:rPr>
          <w:rFonts w:ascii="Times New Roman" w:hAnsi="Times New Roman" w:cs="Times New Roman"/>
        </w:rPr>
        <w:t>A copy of the Foundation</w:t>
      </w:r>
      <w:r w:rsidR="000E2EE2">
        <w:rPr>
          <w:rFonts w:ascii="Times New Roman" w:hAnsi="Times New Roman" w:cs="Times New Roman"/>
        </w:rPr>
        <w:t>’s Statement of Financial Position and Statement of Activity can be found at the Foundation’s Office</w:t>
      </w:r>
      <w:r w:rsidR="00C61A1B">
        <w:rPr>
          <w:rFonts w:ascii="Times New Roman" w:hAnsi="Times New Roman" w:cs="Times New Roman"/>
        </w:rPr>
        <w:t>.</w:t>
      </w:r>
    </w:p>
    <w:p w14:paraId="269D511D" w14:textId="5E847E94" w:rsidR="001A0171" w:rsidRPr="00142486" w:rsidRDefault="001A0171" w:rsidP="006A5E99">
      <w:pPr>
        <w:rPr>
          <w:rFonts w:ascii="Times New Roman" w:hAnsi="Times New Roman" w:cs="Times New Roman"/>
        </w:rPr>
      </w:pPr>
      <w:r w:rsidRPr="00142486">
        <w:rPr>
          <w:rFonts w:ascii="Times New Roman" w:hAnsi="Times New Roman" w:cs="Times New Roman"/>
        </w:rPr>
        <w:t xml:space="preserve">The Foundation managed a successful </w:t>
      </w:r>
      <w:r w:rsidR="00FC448E">
        <w:rPr>
          <w:rFonts w:ascii="Times New Roman" w:hAnsi="Times New Roman" w:cs="Times New Roman"/>
        </w:rPr>
        <w:t>G</w:t>
      </w:r>
      <w:r w:rsidRPr="00142486">
        <w:rPr>
          <w:rFonts w:ascii="Times New Roman" w:hAnsi="Times New Roman" w:cs="Times New Roman"/>
        </w:rPr>
        <w:t xml:space="preserve">rant </w:t>
      </w:r>
      <w:r w:rsidR="00FC448E">
        <w:rPr>
          <w:rFonts w:ascii="Times New Roman" w:hAnsi="Times New Roman" w:cs="Times New Roman"/>
        </w:rPr>
        <w:t>P</w:t>
      </w:r>
      <w:r w:rsidRPr="00142486">
        <w:rPr>
          <w:rFonts w:ascii="Times New Roman" w:hAnsi="Times New Roman" w:cs="Times New Roman"/>
        </w:rPr>
        <w:t>rogram in 2025.</w:t>
      </w:r>
      <w:r w:rsidR="00034CC6" w:rsidRPr="00142486">
        <w:rPr>
          <w:rFonts w:ascii="Times New Roman" w:hAnsi="Times New Roman" w:cs="Times New Roman"/>
        </w:rPr>
        <w:t xml:space="preserve">  Grant applications for the High School Scholarships, Community, and Teacher Honorariums opened on January 1, </w:t>
      </w:r>
      <w:r w:rsidR="00CB3CCE" w:rsidRPr="00142486">
        <w:rPr>
          <w:rFonts w:ascii="Times New Roman" w:hAnsi="Times New Roman" w:cs="Times New Roman"/>
        </w:rPr>
        <w:t>2025,</w:t>
      </w:r>
      <w:r w:rsidR="00034CC6" w:rsidRPr="00142486">
        <w:rPr>
          <w:rFonts w:ascii="Times New Roman" w:hAnsi="Times New Roman" w:cs="Times New Roman"/>
        </w:rPr>
        <w:t xml:space="preserve"> and were closed on March 31, 2025</w:t>
      </w:r>
      <w:r w:rsidR="003E134A" w:rsidRPr="00142486">
        <w:rPr>
          <w:rFonts w:ascii="Times New Roman" w:hAnsi="Times New Roman" w:cs="Times New Roman"/>
        </w:rPr>
        <w:t xml:space="preserve">.  </w:t>
      </w:r>
      <w:r w:rsidR="0008571B">
        <w:rPr>
          <w:rFonts w:ascii="Times New Roman" w:hAnsi="Times New Roman" w:cs="Times New Roman"/>
        </w:rPr>
        <w:t>Money was disbursed to the Lodges by the 15</w:t>
      </w:r>
      <w:r w:rsidR="0008571B" w:rsidRPr="0008571B">
        <w:rPr>
          <w:rFonts w:ascii="Times New Roman" w:hAnsi="Times New Roman" w:cs="Times New Roman"/>
          <w:vertAlign w:val="superscript"/>
        </w:rPr>
        <w:t>th</w:t>
      </w:r>
      <w:r w:rsidR="0008571B">
        <w:rPr>
          <w:rFonts w:ascii="Times New Roman" w:hAnsi="Times New Roman" w:cs="Times New Roman"/>
        </w:rPr>
        <w:t xml:space="preserve"> day of the following month </w:t>
      </w:r>
      <w:r w:rsidR="00605B89">
        <w:rPr>
          <w:rFonts w:ascii="Times New Roman" w:hAnsi="Times New Roman" w:cs="Times New Roman"/>
        </w:rPr>
        <w:t xml:space="preserve">their application was received.  Our 2025 </w:t>
      </w:r>
      <w:r w:rsidR="00A16220">
        <w:rPr>
          <w:rFonts w:ascii="Times New Roman" w:hAnsi="Times New Roman" w:cs="Times New Roman"/>
        </w:rPr>
        <w:t xml:space="preserve">High School </w:t>
      </w:r>
      <w:r w:rsidR="00605B89">
        <w:rPr>
          <w:rFonts w:ascii="Times New Roman" w:hAnsi="Times New Roman" w:cs="Times New Roman"/>
        </w:rPr>
        <w:t xml:space="preserve">Scholarship, Community and Teacher Honorarium </w:t>
      </w:r>
      <w:r w:rsidR="00FD5230">
        <w:rPr>
          <w:rFonts w:ascii="Times New Roman" w:hAnsi="Times New Roman" w:cs="Times New Roman"/>
        </w:rPr>
        <w:t xml:space="preserve">Lodge </w:t>
      </w:r>
      <w:r w:rsidR="00605B89">
        <w:rPr>
          <w:rFonts w:ascii="Times New Roman" w:hAnsi="Times New Roman" w:cs="Times New Roman"/>
        </w:rPr>
        <w:t>count goals were 550, 150 and 200, respective</w:t>
      </w:r>
      <w:r w:rsidR="00FD5230">
        <w:rPr>
          <w:rFonts w:ascii="Times New Roman" w:hAnsi="Times New Roman" w:cs="Times New Roman"/>
        </w:rPr>
        <w:t xml:space="preserve">ly.  We </w:t>
      </w:r>
      <w:r w:rsidR="0069093C">
        <w:rPr>
          <w:rFonts w:ascii="Times New Roman" w:hAnsi="Times New Roman" w:cs="Times New Roman"/>
        </w:rPr>
        <w:t>exceeded our goal</w:t>
      </w:r>
      <w:r w:rsidR="00192089">
        <w:rPr>
          <w:rFonts w:ascii="Times New Roman" w:hAnsi="Times New Roman" w:cs="Times New Roman"/>
        </w:rPr>
        <w:t>s</w:t>
      </w:r>
      <w:r w:rsidR="00045E1B">
        <w:rPr>
          <w:rFonts w:ascii="Times New Roman" w:hAnsi="Times New Roman" w:cs="Times New Roman"/>
        </w:rPr>
        <w:t xml:space="preserve"> </w:t>
      </w:r>
      <w:r w:rsidR="00FD5230">
        <w:rPr>
          <w:rFonts w:ascii="Times New Roman" w:hAnsi="Times New Roman" w:cs="Times New Roman"/>
        </w:rPr>
        <w:t>by matching</w:t>
      </w:r>
      <w:r w:rsidR="00942906">
        <w:rPr>
          <w:rFonts w:ascii="Times New Roman" w:hAnsi="Times New Roman" w:cs="Times New Roman"/>
        </w:rPr>
        <w:t xml:space="preserve"> 553</w:t>
      </w:r>
      <w:r w:rsidR="00045E1B">
        <w:rPr>
          <w:rFonts w:ascii="Times New Roman" w:hAnsi="Times New Roman" w:cs="Times New Roman"/>
        </w:rPr>
        <w:t xml:space="preserve"> Lodges</w:t>
      </w:r>
      <w:r w:rsidR="00270F51">
        <w:rPr>
          <w:rFonts w:ascii="Times New Roman" w:hAnsi="Times New Roman" w:cs="Times New Roman"/>
        </w:rPr>
        <w:t xml:space="preserve"> with High School Scholarships</w:t>
      </w:r>
      <w:r w:rsidR="00942906">
        <w:rPr>
          <w:rFonts w:ascii="Times New Roman" w:hAnsi="Times New Roman" w:cs="Times New Roman"/>
        </w:rPr>
        <w:t>, 245</w:t>
      </w:r>
      <w:r w:rsidR="00270F51">
        <w:rPr>
          <w:rFonts w:ascii="Times New Roman" w:hAnsi="Times New Roman" w:cs="Times New Roman"/>
        </w:rPr>
        <w:t xml:space="preserve"> Lodges with Community Grants</w:t>
      </w:r>
      <w:r w:rsidR="00942906">
        <w:rPr>
          <w:rFonts w:ascii="Times New Roman" w:hAnsi="Times New Roman" w:cs="Times New Roman"/>
        </w:rPr>
        <w:t>, and 214</w:t>
      </w:r>
      <w:r w:rsidR="00270F51">
        <w:rPr>
          <w:rFonts w:ascii="Times New Roman" w:hAnsi="Times New Roman" w:cs="Times New Roman"/>
        </w:rPr>
        <w:t xml:space="preserve"> Lodges with Teacher Honorariums</w:t>
      </w:r>
      <w:r w:rsidR="00A16220">
        <w:rPr>
          <w:rFonts w:ascii="Times New Roman" w:hAnsi="Times New Roman" w:cs="Times New Roman"/>
        </w:rPr>
        <w:t>.  This is an increase of 106% for High School Scholarships, 182%</w:t>
      </w:r>
      <w:r w:rsidR="00D16ABE">
        <w:rPr>
          <w:rFonts w:ascii="Times New Roman" w:hAnsi="Times New Roman" w:cs="Times New Roman"/>
        </w:rPr>
        <w:t xml:space="preserve"> for Community and 249% for Teacher Honorariums over 2024.</w:t>
      </w:r>
      <w:r w:rsidR="00FD5230">
        <w:rPr>
          <w:rFonts w:ascii="Times New Roman" w:hAnsi="Times New Roman" w:cs="Times New Roman"/>
        </w:rPr>
        <w:t xml:space="preserve"> </w:t>
      </w:r>
      <w:r w:rsidR="003E134A" w:rsidRPr="00142486">
        <w:rPr>
          <w:rFonts w:ascii="Times New Roman" w:hAnsi="Times New Roman" w:cs="Times New Roman"/>
        </w:rPr>
        <w:t xml:space="preserve">Following are </w:t>
      </w:r>
      <w:r w:rsidR="00633F36">
        <w:rPr>
          <w:rFonts w:ascii="Times New Roman" w:hAnsi="Times New Roman" w:cs="Times New Roman"/>
        </w:rPr>
        <w:t>the financial results</w:t>
      </w:r>
      <w:r w:rsidR="009C74F4" w:rsidRPr="00142486">
        <w:rPr>
          <w:rFonts w:ascii="Times New Roman" w:hAnsi="Times New Roman" w:cs="Times New Roman"/>
        </w:rPr>
        <w:t>:</w:t>
      </w:r>
    </w:p>
    <w:tbl>
      <w:tblPr>
        <w:tblStyle w:val="TableGrid"/>
        <w:tblW w:w="8138" w:type="dxa"/>
        <w:jc w:val="center"/>
        <w:tblLook w:val="04A0" w:firstRow="1" w:lastRow="0" w:firstColumn="1" w:lastColumn="0" w:noHBand="0" w:noVBand="1"/>
      </w:tblPr>
      <w:tblGrid>
        <w:gridCol w:w="2096"/>
        <w:gridCol w:w="1229"/>
        <w:gridCol w:w="1704"/>
        <w:gridCol w:w="1567"/>
        <w:gridCol w:w="1542"/>
      </w:tblGrid>
      <w:tr w:rsidR="00F54B3C" w:rsidRPr="00646B34" w14:paraId="163B2CDD" w14:textId="77777777" w:rsidTr="00F54B3C">
        <w:trPr>
          <w:trHeight w:val="300"/>
          <w:jc w:val="center"/>
        </w:trPr>
        <w:tc>
          <w:tcPr>
            <w:tcW w:w="2096" w:type="dxa"/>
            <w:noWrap/>
            <w:hideMark/>
          </w:tcPr>
          <w:p w14:paraId="07B158E5" w14:textId="77777777" w:rsidR="00F54B3C" w:rsidRPr="00646B34" w:rsidRDefault="00F54B3C" w:rsidP="00646B34">
            <w:pPr>
              <w:jc w:val="center"/>
              <w:rPr>
                <w:rFonts w:ascii="Times New Roman" w:hAnsi="Times New Roman" w:cs="Times New Roman"/>
                <w:b/>
                <w:bCs/>
              </w:rPr>
            </w:pPr>
            <w:r w:rsidRPr="00646B34">
              <w:rPr>
                <w:rFonts w:ascii="Times New Roman" w:hAnsi="Times New Roman" w:cs="Times New Roman"/>
                <w:b/>
                <w:bCs/>
              </w:rPr>
              <w:t> </w:t>
            </w:r>
          </w:p>
        </w:tc>
        <w:tc>
          <w:tcPr>
            <w:tcW w:w="1229" w:type="dxa"/>
            <w:noWrap/>
            <w:hideMark/>
          </w:tcPr>
          <w:p w14:paraId="39AC0EA7" w14:textId="77777777" w:rsidR="00F54B3C" w:rsidRPr="00646B34" w:rsidRDefault="00F54B3C" w:rsidP="00646B34">
            <w:pPr>
              <w:jc w:val="center"/>
              <w:rPr>
                <w:rFonts w:ascii="Times New Roman" w:hAnsi="Times New Roman" w:cs="Times New Roman"/>
                <w:b/>
                <w:bCs/>
              </w:rPr>
            </w:pPr>
            <w:r w:rsidRPr="00646B34">
              <w:rPr>
                <w:rFonts w:ascii="Times New Roman" w:hAnsi="Times New Roman" w:cs="Times New Roman"/>
                <w:b/>
                <w:bCs/>
              </w:rPr>
              <w:t>No. Lodges</w:t>
            </w:r>
          </w:p>
        </w:tc>
        <w:tc>
          <w:tcPr>
            <w:tcW w:w="1704" w:type="dxa"/>
            <w:noWrap/>
            <w:hideMark/>
          </w:tcPr>
          <w:p w14:paraId="540073E5" w14:textId="77777777" w:rsidR="00F54B3C" w:rsidRPr="00646B34" w:rsidRDefault="00F54B3C" w:rsidP="00646B34">
            <w:pPr>
              <w:jc w:val="center"/>
              <w:rPr>
                <w:rFonts w:ascii="Times New Roman" w:hAnsi="Times New Roman" w:cs="Times New Roman"/>
                <w:b/>
                <w:bCs/>
              </w:rPr>
            </w:pPr>
            <w:r w:rsidRPr="00646B34">
              <w:rPr>
                <w:rFonts w:ascii="Times New Roman" w:hAnsi="Times New Roman" w:cs="Times New Roman"/>
                <w:b/>
                <w:bCs/>
              </w:rPr>
              <w:t>Lodge $ Commitment</w:t>
            </w:r>
          </w:p>
        </w:tc>
        <w:tc>
          <w:tcPr>
            <w:tcW w:w="1567" w:type="dxa"/>
            <w:noWrap/>
            <w:hideMark/>
          </w:tcPr>
          <w:p w14:paraId="306AF39B" w14:textId="438B4B41" w:rsidR="00F54B3C" w:rsidRPr="00646B34" w:rsidRDefault="00F54B3C" w:rsidP="00646B34">
            <w:pPr>
              <w:jc w:val="center"/>
              <w:rPr>
                <w:rFonts w:ascii="Times New Roman" w:hAnsi="Times New Roman" w:cs="Times New Roman"/>
                <w:b/>
                <w:bCs/>
              </w:rPr>
            </w:pPr>
            <w:r w:rsidRPr="00646B34">
              <w:rPr>
                <w:rFonts w:ascii="Times New Roman" w:hAnsi="Times New Roman" w:cs="Times New Roman"/>
                <w:b/>
                <w:bCs/>
              </w:rPr>
              <w:t>TXMCF Match</w:t>
            </w:r>
          </w:p>
        </w:tc>
        <w:tc>
          <w:tcPr>
            <w:tcW w:w="1542" w:type="dxa"/>
            <w:noWrap/>
            <w:hideMark/>
          </w:tcPr>
          <w:p w14:paraId="12104BDE" w14:textId="77777777" w:rsidR="00F54B3C" w:rsidRPr="00646B34" w:rsidRDefault="00F54B3C" w:rsidP="00646B34">
            <w:pPr>
              <w:jc w:val="center"/>
              <w:rPr>
                <w:rFonts w:ascii="Times New Roman" w:hAnsi="Times New Roman" w:cs="Times New Roman"/>
                <w:b/>
                <w:bCs/>
              </w:rPr>
            </w:pPr>
            <w:r w:rsidRPr="00646B34">
              <w:rPr>
                <w:rFonts w:ascii="Times New Roman" w:hAnsi="Times New Roman" w:cs="Times New Roman"/>
                <w:b/>
                <w:bCs/>
              </w:rPr>
              <w:t>Total</w:t>
            </w:r>
          </w:p>
        </w:tc>
      </w:tr>
      <w:tr w:rsidR="00F54B3C" w:rsidRPr="00646B34" w14:paraId="776B1F91" w14:textId="77777777" w:rsidTr="00F54B3C">
        <w:trPr>
          <w:trHeight w:val="300"/>
          <w:jc w:val="center"/>
        </w:trPr>
        <w:tc>
          <w:tcPr>
            <w:tcW w:w="2096" w:type="dxa"/>
            <w:noWrap/>
            <w:hideMark/>
          </w:tcPr>
          <w:p w14:paraId="7734CA03" w14:textId="77777777" w:rsidR="00F54B3C" w:rsidRPr="00646B34" w:rsidRDefault="00F54B3C">
            <w:pPr>
              <w:rPr>
                <w:rFonts w:ascii="Times New Roman" w:hAnsi="Times New Roman" w:cs="Times New Roman"/>
                <w:b/>
                <w:bCs/>
              </w:rPr>
            </w:pPr>
            <w:r w:rsidRPr="00646B34">
              <w:rPr>
                <w:rFonts w:ascii="Times New Roman" w:hAnsi="Times New Roman" w:cs="Times New Roman"/>
                <w:b/>
                <w:bCs/>
              </w:rPr>
              <w:t>Scholarships</w:t>
            </w:r>
          </w:p>
        </w:tc>
        <w:tc>
          <w:tcPr>
            <w:tcW w:w="1229" w:type="dxa"/>
            <w:noWrap/>
            <w:hideMark/>
          </w:tcPr>
          <w:p w14:paraId="3F36C9FA" w14:textId="77777777" w:rsidR="00F54B3C" w:rsidRPr="00646B34" w:rsidRDefault="00F54B3C" w:rsidP="00646B34">
            <w:pPr>
              <w:jc w:val="center"/>
              <w:rPr>
                <w:rFonts w:ascii="Times New Roman" w:hAnsi="Times New Roman" w:cs="Times New Roman"/>
              </w:rPr>
            </w:pPr>
            <w:r w:rsidRPr="00646B34">
              <w:rPr>
                <w:rFonts w:ascii="Times New Roman" w:hAnsi="Times New Roman" w:cs="Times New Roman"/>
              </w:rPr>
              <w:t>553</w:t>
            </w:r>
          </w:p>
        </w:tc>
        <w:tc>
          <w:tcPr>
            <w:tcW w:w="1704" w:type="dxa"/>
            <w:noWrap/>
            <w:hideMark/>
          </w:tcPr>
          <w:p w14:paraId="01C6EE46" w14:textId="120BA267" w:rsidR="00F54B3C" w:rsidRPr="00646B34" w:rsidRDefault="00F54B3C" w:rsidP="00646B34">
            <w:pPr>
              <w:jc w:val="center"/>
              <w:rPr>
                <w:rFonts w:ascii="Times New Roman" w:hAnsi="Times New Roman" w:cs="Times New Roman"/>
              </w:rPr>
            </w:pPr>
            <w:r w:rsidRPr="00646B34">
              <w:rPr>
                <w:rFonts w:ascii="Times New Roman" w:hAnsi="Times New Roman" w:cs="Times New Roman"/>
              </w:rPr>
              <w:t>$1,424,952</w:t>
            </w:r>
          </w:p>
        </w:tc>
        <w:tc>
          <w:tcPr>
            <w:tcW w:w="1567" w:type="dxa"/>
            <w:noWrap/>
            <w:hideMark/>
          </w:tcPr>
          <w:p w14:paraId="47AFAF72" w14:textId="15DB8FE8" w:rsidR="00F54B3C" w:rsidRPr="00646B34" w:rsidRDefault="00F54B3C" w:rsidP="00646B34">
            <w:pPr>
              <w:jc w:val="center"/>
              <w:rPr>
                <w:rFonts w:ascii="Times New Roman" w:hAnsi="Times New Roman" w:cs="Times New Roman"/>
              </w:rPr>
            </w:pPr>
            <w:r w:rsidRPr="00646B34">
              <w:rPr>
                <w:rFonts w:ascii="Times New Roman" w:hAnsi="Times New Roman" w:cs="Times New Roman"/>
              </w:rPr>
              <w:t>$639,250</w:t>
            </w:r>
          </w:p>
        </w:tc>
        <w:tc>
          <w:tcPr>
            <w:tcW w:w="1542" w:type="dxa"/>
            <w:noWrap/>
            <w:hideMark/>
          </w:tcPr>
          <w:p w14:paraId="39EA9537" w14:textId="43DEAFF4" w:rsidR="00F54B3C" w:rsidRPr="00646B34" w:rsidRDefault="00F54B3C" w:rsidP="00646B34">
            <w:pPr>
              <w:jc w:val="center"/>
              <w:rPr>
                <w:rFonts w:ascii="Times New Roman" w:hAnsi="Times New Roman" w:cs="Times New Roman"/>
              </w:rPr>
            </w:pPr>
            <w:r w:rsidRPr="00646B34">
              <w:rPr>
                <w:rFonts w:ascii="Times New Roman" w:hAnsi="Times New Roman" w:cs="Times New Roman"/>
              </w:rPr>
              <w:t>$2,064,202</w:t>
            </w:r>
          </w:p>
        </w:tc>
      </w:tr>
      <w:tr w:rsidR="00F54B3C" w:rsidRPr="00646B34" w14:paraId="40084474" w14:textId="77777777" w:rsidTr="00F54B3C">
        <w:trPr>
          <w:trHeight w:val="300"/>
          <w:jc w:val="center"/>
        </w:trPr>
        <w:tc>
          <w:tcPr>
            <w:tcW w:w="2096" w:type="dxa"/>
            <w:noWrap/>
            <w:hideMark/>
          </w:tcPr>
          <w:p w14:paraId="63A6ED8B" w14:textId="77777777" w:rsidR="00F54B3C" w:rsidRPr="00646B34" w:rsidRDefault="00F54B3C">
            <w:pPr>
              <w:rPr>
                <w:rFonts w:ascii="Times New Roman" w:hAnsi="Times New Roman" w:cs="Times New Roman"/>
                <w:b/>
                <w:bCs/>
              </w:rPr>
            </w:pPr>
            <w:r w:rsidRPr="00646B34">
              <w:rPr>
                <w:rFonts w:ascii="Times New Roman" w:hAnsi="Times New Roman" w:cs="Times New Roman"/>
                <w:b/>
                <w:bCs/>
              </w:rPr>
              <w:t>Community Grants</w:t>
            </w:r>
          </w:p>
        </w:tc>
        <w:tc>
          <w:tcPr>
            <w:tcW w:w="1229" w:type="dxa"/>
            <w:noWrap/>
            <w:hideMark/>
          </w:tcPr>
          <w:p w14:paraId="15F3CEAE" w14:textId="77777777" w:rsidR="00F54B3C" w:rsidRPr="00646B34" w:rsidRDefault="00F54B3C" w:rsidP="00646B34">
            <w:pPr>
              <w:jc w:val="center"/>
              <w:rPr>
                <w:rFonts w:ascii="Times New Roman" w:hAnsi="Times New Roman" w:cs="Times New Roman"/>
              </w:rPr>
            </w:pPr>
            <w:r w:rsidRPr="00646B34">
              <w:rPr>
                <w:rFonts w:ascii="Times New Roman" w:hAnsi="Times New Roman" w:cs="Times New Roman"/>
              </w:rPr>
              <w:t>245</w:t>
            </w:r>
          </w:p>
        </w:tc>
        <w:tc>
          <w:tcPr>
            <w:tcW w:w="1704" w:type="dxa"/>
            <w:noWrap/>
            <w:hideMark/>
          </w:tcPr>
          <w:p w14:paraId="2A8516AF" w14:textId="5111098B" w:rsidR="00F54B3C" w:rsidRPr="00646B34" w:rsidRDefault="00F54B3C" w:rsidP="00646B34">
            <w:pPr>
              <w:jc w:val="center"/>
              <w:rPr>
                <w:rFonts w:ascii="Times New Roman" w:hAnsi="Times New Roman" w:cs="Times New Roman"/>
              </w:rPr>
            </w:pPr>
            <w:r w:rsidRPr="00646B34">
              <w:rPr>
                <w:rFonts w:ascii="Times New Roman" w:hAnsi="Times New Roman" w:cs="Times New Roman"/>
              </w:rPr>
              <w:t>$152,850</w:t>
            </w:r>
          </w:p>
        </w:tc>
        <w:tc>
          <w:tcPr>
            <w:tcW w:w="1567" w:type="dxa"/>
            <w:noWrap/>
            <w:hideMark/>
          </w:tcPr>
          <w:p w14:paraId="4EC40426" w14:textId="21CCB69C" w:rsidR="00F54B3C" w:rsidRPr="00646B34" w:rsidRDefault="00F54B3C" w:rsidP="00646B34">
            <w:pPr>
              <w:jc w:val="center"/>
              <w:rPr>
                <w:rFonts w:ascii="Times New Roman" w:hAnsi="Times New Roman" w:cs="Times New Roman"/>
              </w:rPr>
            </w:pPr>
            <w:r w:rsidRPr="00646B34">
              <w:rPr>
                <w:rFonts w:ascii="Times New Roman" w:hAnsi="Times New Roman" w:cs="Times New Roman"/>
              </w:rPr>
              <w:t>$60,375</w:t>
            </w:r>
          </w:p>
        </w:tc>
        <w:tc>
          <w:tcPr>
            <w:tcW w:w="1542" w:type="dxa"/>
            <w:noWrap/>
            <w:hideMark/>
          </w:tcPr>
          <w:p w14:paraId="50E01812" w14:textId="675CF9D8" w:rsidR="00F54B3C" w:rsidRPr="00646B34" w:rsidRDefault="00F54B3C" w:rsidP="00646B34">
            <w:pPr>
              <w:jc w:val="center"/>
              <w:rPr>
                <w:rFonts w:ascii="Times New Roman" w:hAnsi="Times New Roman" w:cs="Times New Roman"/>
              </w:rPr>
            </w:pPr>
            <w:r w:rsidRPr="00646B34">
              <w:rPr>
                <w:rFonts w:ascii="Times New Roman" w:hAnsi="Times New Roman" w:cs="Times New Roman"/>
              </w:rPr>
              <w:t>$213,225</w:t>
            </w:r>
          </w:p>
        </w:tc>
      </w:tr>
      <w:tr w:rsidR="00F54B3C" w:rsidRPr="00646B34" w14:paraId="2C47654A" w14:textId="77777777" w:rsidTr="00F54B3C">
        <w:trPr>
          <w:trHeight w:val="300"/>
          <w:jc w:val="center"/>
        </w:trPr>
        <w:tc>
          <w:tcPr>
            <w:tcW w:w="2096" w:type="dxa"/>
            <w:noWrap/>
            <w:hideMark/>
          </w:tcPr>
          <w:p w14:paraId="1836EEC9" w14:textId="77777777" w:rsidR="00F54B3C" w:rsidRPr="00646B34" w:rsidRDefault="00F54B3C">
            <w:pPr>
              <w:rPr>
                <w:rFonts w:ascii="Times New Roman" w:hAnsi="Times New Roman" w:cs="Times New Roman"/>
                <w:b/>
                <w:bCs/>
              </w:rPr>
            </w:pPr>
            <w:r w:rsidRPr="00646B34">
              <w:rPr>
                <w:rFonts w:ascii="Times New Roman" w:hAnsi="Times New Roman" w:cs="Times New Roman"/>
                <w:b/>
                <w:bCs/>
              </w:rPr>
              <w:t>Teacher Honorariums</w:t>
            </w:r>
          </w:p>
        </w:tc>
        <w:tc>
          <w:tcPr>
            <w:tcW w:w="1229" w:type="dxa"/>
            <w:noWrap/>
            <w:hideMark/>
          </w:tcPr>
          <w:p w14:paraId="0E7343EE" w14:textId="77777777" w:rsidR="00F54B3C" w:rsidRPr="00646B34" w:rsidRDefault="00F54B3C" w:rsidP="00646B34">
            <w:pPr>
              <w:jc w:val="center"/>
              <w:rPr>
                <w:rFonts w:ascii="Times New Roman" w:hAnsi="Times New Roman" w:cs="Times New Roman"/>
              </w:rPr>
            </w:pPr>
            <w:r w:rsidRPr="00646B34">
              <w:rPr>
                <w:rFonts w:ascii="Times New Roman" w:hAnsi="Times New Roman" w:cs="Times New Roman"/>
              </w:rPr>
              <w:t>214</w:t>
            </w:r>
          </w:p>
        </w:tc>
        <w:tc>
          <w:tcPr>
            <w:tcW w:w="1704" w:type="dxa"/>
            <w:noWrap/>
            <w:hideMark/>
          </w:tcPr>
          <w:p w14:paraId="15D80043" w14:textId="74E9B7A5" w:rsidR="00F54B3C" w:rsidRPr="00646B34" w:rsidRDefault="00F54B3C" w:rsidP="00646B34">
            <w:pPr>
              <w:jc w:val="center"/>
              <w:rPr>
                <w:rFonts w:ascii="Times New Roman" w:hAnsi="Times New Roman" w:cs="Times New Roman"/>
              </w:rPr>
            </w:pPr>
            <w:r w:rsidRPr="00646B34">
              <w:rPr>
                <w:rFonts w:ascii="Times New Roman" w:hAnsi="Times New Roman" w:cs="Times New Roman"/>
              </w:rPr>
              <w:t>$100,050</w:t>
            </w:r>
          </w:p>
        </w:tc>
        <w:tc>
          <w:tcPr>
            <w:tcW w:w="1567" w:type="dxa"/>
            <w:noWrap/>
            <w:hideMark/>
          </w:tcPr>
          <w:p w14:paraId="1A8EC1B7" w14:textId="499CAF57" w:rsidR="00F54B3C" w:rsidRPr="00646B34" w:rsidRDefault="00F54B3C" w:rsidP="00646B34">
            <w:pPr>
              <w:jc w:val="center"/>
              <w:rPr>
                <w:rFonts w:ascii="Times New Roman" w:hAnsi="Times New Roman" w:cs="Times New Roman"/>
              </w:rPr>
            </w:pPr>
            <w:r w:rsidRPr="00646B34">
              <w:rPr>
                <w:rFonts w:ascii="Times New Roman" w:hAnsi="Times New Roman" w:cs="Times New Roman"/>
              </w:rPr>
              <w:t>$89,625</w:t>
            </w:r>
          </w:p>
        </w:tc>
        <w:tc>
          <w:tcPr>
            <w:tcW w:w="1542" w:type="dxa"/>
            <w:noWrap/>
            <w:hideMark/>
          </w:tcPr>
          <w:p w14:paraId="71AA45DF" w14:textId="712707CF" w:rsidR="00F54B3C" w:rsidRPr="00646B34" w:rsidRDefault="00F54B3C" w:rsidP="00646B34">
            <w:pPr>
              <w:jc w:val="center"/>
              <w:rPr>
                <w:rFonts w:ascii="Times New Roman" w:hAnsi="Times New Roman" w:cs="Times New Roman"/>
              </w:rPr>
            </w:pPr>
            <w:r w:rsidRPr="00646B34">
              <w:rPr>
                <w:rFonts w:ascii="Times New Roman" w:hAnsi="Times New Roman" w:cs="Times New Roman"/>
              </w:rPr>
              <w:t>$189,675</w:t>
            </w:r>
          </w:p>
        </w:tc>
      </w:tr>
      <w:tr w:rsidR="00F54B3C" w:rsidRPr="00646B34" w14:paraId="148A1842" w14:textId="77777777" w:rsidTr="00F54B3C">
        <w:trPr>
          <w:trHeight w:val="300"/>
          <w:jc w:val="center"/>
        </w:trPr>
        <w:tc>
          <w:tcPr>
            <w:tcW w:w="2096" w:type="dxa"/>
            <w:noWrap/>
            <w:hideMark/>
          </w:tcPr>
          <w:p w14:paraId="4A05834D" w14:textId="77777777" w:rsidR="00F54B3C" w:rsidRPr="00646B34" w:rsidRDefault="00F54B3C">
            <w:pPr>
              <w:rPr>
                <w:rFonts w:ascii="Times New Roman" w:hAnsi="Times New Roman" w:cs="Times New Roman"/>
              </w:rPr>
            </w:pPr>
            <w:r w:rsidRPr="00646B34">
              <w:rPr>
                <w:rFonts w:ascii="Times New Roman" w:hAnsi="Times New Roman" w:cs="Times New Roman"/>
              </w:rPr>
              <w:t> </w:t>
            </w:r>
          </w:p>
        </w:tc>
        <w:tc>
          <w:tcPr>
            <w:tcW w:w="1229" w:type="dxa"/>
            <w:noWrap/>
            <w:hideMark/>
          </w:tcPr>
          <w:p w14:paraId="508AFC62" w14:textId="128850F5" w:rsidR="00F54B3C" w:rsidRPr="00656D55" w:rsidRDefault="00F54B3C" w:rsidP="00646B34">
            <w:pPr>
              <w:jc w:val="center"/>
              <w:rPr>
                <w:rFonts w:ascii="Times New Roman" w:hAnsi="Times New Roman" w:cs="Times New Roman"/>
                <w:b/>
                <w:bCs/>
              </w:rPr>
            </w:pPr>
            <w:r w:rsidRPr="00656D55">
              <w:rPr>
                <w:rFonts w:ascii="Times New Roman" w:hAnsi="Times New Roman" w:cs="Times New Roman"/>
                <w:b/>
                <w:bCs/>
              </w:rPr>
              <w:t>Sub-total</w:t>
            </w:r>
          </w:p>
        </w:tc>
        <w:tc>
          <w:tcPr>
            <w:tcW w:w="1704" w:type="dxa"/>
            <w:noWrap/>
            <w:hideMark/>
          </w:tcPr>
          <w:p w14:paraId="6B15B9E3" w14:textId="16CF3BFA" w:rsidR="00F54B3C" w:rsidRPr="00646B34" w:rsidRDefault="00F54B3C" w:rsidP="00646B34">
            <w:pPr>
              <w:jc w:val="center"/>
              <w:rPr>
                <w:rFonts w:ascii="Times New Roman" w:hAnsi="Times New Roman" w:cs="Times New Roman"/>
                <w:b/>
                <w:bCs/>
              </w:rPr>
            </w:pPr>
            <w:r w:rsidRPr="00646B34">
              <w:rPr>
                <w:rFonts w:ascii="Times New Roman" w:hAnsi="Times New Roman" w:cs="Times New Roman"/>
                <w:b/>
                <w:bCs/>
              </w:rPr>
              <w:t>$1,677,852</w:t>
            </w:r>
          </w:p>
        </w:tc>
        <w:tc>
          <w:tcPr>
            <w:tcW w:w="1567" w:type="dxa"/>
            <w:noWrap/>
            <w:hideMark/>
          </w:tcPr>
          <w:p w14:paraId="3B893612" w14:textId="2E7730D7" w:rsidR="00F54B3C" w:rsidRPr="00646B34" w:rsidRDefault="00F54B3C" w:rsidP="00646B34">
            <w:pPr>
              <w:jc w:val="center"/>
              <w:rPr>
                <w:rFonts w:ascii="Times New Roman" w:hAnsi="Times New Roman" w:cs="Times New Roman"/>
                <w:b/>
                <w:bCs/>
              </w:rPr>
            </w:pPr>
            <w:r w:rsidRPr="00646B34">
              <w:rPr>
                <w:rFonts w:ascii="Times New Roman" w:hAnsi="Times New Roman" w:cs="Times New Roman"/>
                <w:b/>
                <w:bCs/>
              </w:rPr>
              <w:t>$789,250</w:t>
            </w:r>
          </w:p>
        </w:tc>
        <w:tc>
          <w:tcPr>
            <w:tcW w:w="1542" w:type="dxa"/>
            <w:noWrap/>
            <w:hideMark/>
          </w:tcPr>
          <w:p w14:paraId="19EC2D14" w14:textId="5ADA69E4" w:rsidR="00F54B3C" w:rsidRPr="00646B34" w:rsidRDefault="00F54B3C" w:rsidP="00646B34">
            <w:pPr>
              <w:jc w:val="center"/>
              <w:rPr>
                <w:rFonts w:ascii="Times New Roman" w:hAnsi="Times New Roman" w:cs="Times New Roman"/>
                <w:b/>
                <w:bCs/>
              </w:rPr>
            </w:pPr>
            <w:r w:rsidRPr="00646B34">
              <w:rPr>
                <w:rFonts w:ascii="Times New Roman" w:hAnsi="Times New Roman" w:cs="Times New Roman"/>
                <w:b/>
                <w:bCs/>
              </w:rPr>
              <w:t>$2,467,102</w:t>
            </w:r>
          </w:p>
        </w:tc>
      </w:tr>
    </w:tbl>
    <w:p w14:paraId="6AE26EC0" w14:textId="68E1A9F1" w:rsidR="00F95BEB" w:rsidRPr="0049672C" w:rsidRDefault="00401002" w:rsidP="0049672C">
      <w:pPr>
        <w:tabs>
          <w:tab w:val="left" w:pos="5275"/>
        </w:tabs>
        <w:jc w:val="center"/>
        <w:rPr>
          <w:rFonts w:ascii="Times New Roman" w:hAnsi="Times New Roman" w:cs="Times New Roman"/>
          <w:b/>
          <w:bCs/>
        </w:rPr>
      </w:pPr>
      <w:r w:rsidRPr="0049672C">
        <w:rPr>
          <w:rFonts w:ascii="Times New Roman" w:hAnsi="Times New Roman" w:cs="Times New Roman"/>
          <w:b/>
          <w:bCs/>
        </w:rPr>
        <w:t>Table 2:</w:t>
      </w:r>
      <w:r w:rsidR="00E668F0">
        <w:rPr>
          <w:rFonts w:ascii="Times New Roman" w:hAnsi="Times New Roman" w:cs="Times New Roman"/>
          <w:b/>
          <w:bCs/>
        </w:rPr>
        <w:t xml:space="preserve"> </w:t>
      </w:r>
      <w:r w:rsidR="00B46A1A">
        <w:rPr>
          <w:rFonts w:ascii="Times New Roman" w:hAnsi="Times New Roman" w:cs="Times New Roman"/>
          <w:b/>
          <w:bCs/>
        </w:rPr>
        <w:t xml:space="preserve">Grant </w:t>
      </w:r>
      <w:r w:rsidR="00F459C0">
        <w:rPr>
          <w:rFonts w:ascii="Times New Roman" w:hAnsi="Times New Roman" w:cs="Times New Roman"/>
          <w:b/>
          <w:bCs/>
        </w:rPr>
        <w:t>Partnership Summary</w:t>
      </w:r>
      <w:r w:rsidR="00E668F0">
        <w:rPr>
          <w:rFonts w:ascii="Times New Roman" w:hAnsi="Times New Roman" w:cs="Times New Roman"/>
          <w:b/>
          <w:bCs/>
        </w:rPr>
        <w:t xml:space="preserve"> of 2025 </w:t>
      </w:r>
    </w:p>
    <w:p w14:paraId="567B286F" w14:textId="42601A0F" w:rsidR="009C74F4" w:rsidRDefault="00FE5F57" w:rsidP="006A5E99">
      <w:pPr>
        <w:rPr>
          <w:rFonts w:ascii="Times New Roman" w:hAnsi="Times New Roman" w:cs="Times New Roman"/>
        </w:rPr>
      </w:pPr>
      <w:r w:rsidRPr="0005534E">
        <w:rPr>
          <w:rFonts w:ascii="Times New Roman" w:hAnsi="Times New Roman" w:cs="Times New Roman"/>
        </w:rPr>
        <w:t xml:space="preserve">In July 2025, </w:t>
      </w:r>
      <w:r w:rsidR="00B70451" w:rsidRPr="0005534E">
        <w:rPr>
          <w:rFonts w:ascii="Times New Roman" w:hAnsi="Times New Roman" w:cs="Times New Roman"/>
        </w:rPr>
        <w:t xml:space="preserve">parts of Central Texas were devastated by </w:t>
      </w:r>
      <w:r w:rsidR="00293953">
        <w:rPr>
          <w:rFonts w:ascii="Times New Roman" w:hAnsi="Times New Roman" w:cs="Times New Roman"/>
        </w:rPr>
        <w:t xml:space="preserve">the deluge and the resulting </w:t>
      </w:r>
      <w:r w:rsidR="00B70451" w:rsidRPr="0005534E">
        <w:rPr>
          <w:rFonts w:ascii="Times New Roman" w:hAnsi="Times New Roman" w:cs="Times New Roman"/>
        </w:rPr>
        <w:t>historical floods.</w:t>
      </w:r>
      <w:r w:rsidR="0096041C" w:rsidRPr="0005534E">
        <w:rPr>
          <w:rFonts w:ascii="Times New Roman" w:hAnsi="Times New Roman" w:cs="Times New Roman"/>
        </w:rPr>
        <w:t xml:space="preserve">  </w:t>
      </w:r>
      <w:r w:rsidR="00A13890">
        <w:rPr>
          <w:rFonts w:ascii="Times New Roman" w:hAnsi="Times New Roman" w:cs="Times New Roman"/>
        </w:rPr>
        <w:t>Within one week of the</w:t>
      </w:r>
      <w:r w:rsidR="009C18E3">
        <w:rPr>
          <w:rFonts w:ascii="Times New Roman" w:hAnsi="Times New Roman" w:cs="Times New Roman"/>
        </w:rPr>
        <w:t xml:space="preserve"> event, y</w:t>
      </w:r>
      <w:r w:rsidR="0096041C" w:rsidRPr="0005534E">
        <w:rPr>
          <w:rFonts w:ascii="Times New Roman" w:hAnsi="Times New Roman" w:cs="Times New Roman"/>
        </w:rPr>
        <w:t xml:space="preserve">our Texas Masonic Charities Foundation </w:t>
      </w:r>
      <w:r w:rsidR="0005534E">
        <w:rPr>
          <w:rFonts w:ascii="Times New Roman" w:hAnsi="Times New Roman" w:cs="Times New Roman"/>
        </w:rPr>
        <w:t xml:space="preserve">opened a </w:t>
      </w:r>
      <w:r w:rsidR="0005534E">
        <w:rPr>
          <w:rFonts w:ascii="Times New Roman" w:hAnsi="Times New Roman" w:cs="Times New Roman"/>
        </w:rPr>
        <w:lastRenderedPageBreak/>
        <w:t>donations page</w:t>
      </w:r>
      <w:r w:rsidR="00CF413E">
        <w:rPr>
          <w:rFonts w:ascii="Times New Roman" w:hAnsi="Times New Roman" w:cs="Times New Roman"/>
        </w:rPr>
        <w:t xml:space="preserve">, </w:t>
      </w:r>
      <w:r w:rsidR="00BA5A49" w:rsidRPr="0005534E">
        <w:rPr>
          <w:rFonts w:ascii="Times New Roman" w:hAnsi="Times New Roman" w:cs="Times New Roman"/>
        </w:rPr>
        <w:t>solicited donations</w:t>
      </w:r>
      <w:r w:rsidR="00CF413E">
        <w:rPr>
          <w:rFonts w:ascii="Times New Roman" w:hAnsi="Times New Roman" w:cs="Times New Roman"/>
        </w:rPr>
        <w:t xml:space="preserve"> and within two weeks</w:t>
      </w:r>
      <w:r w:rsidR="00BA5A49" w:rsidRPr="0005534E">
        <w:rPr>
          <w:rFonts w:ascii="Times New Roman" w:hAnsi="Times New Roman" w:cs="Times New Roman"/>
        </w:rPr>
        <w:t xml:space="preserve"> </w:t>
      </w:r>
      <w:r w:rsidR="00390C22" w:rsidRPr="0005534E">
        <w:rPr>
          <w:rFonts w:ascii="Times New Roman" w:hAnsi="Times New Roman" w:cs="Times New Roman"/>
        </w:rPr>
        <w:t xml:space="preserve">received $22,000.  The Foundation utilized $28,000 of its </w:t>
      </w:r>
      <w:r w:rsidR="00F56730">
        <w:rPr>
          <w:rFonts w:ascii="Times New Roman" w:hAnsi="Times New Roman" w:cs="Times New Roman"/>
        </w:rPr>
        <w:t xml:space="preserve">budgeted </w:t>
      </w:r>
      <w:r w:rsidR="00390C22" w:rsidRPr="0005534E">
        <w:rPr>
          <w:rFonts w:ascii="Times New Roman" w:hAnsi="Times New Roman" w:cs="Times New Roman"/>
        </w:rPr>
        <w:t>corpus</w:t>
      </w:r>
      <w:r w:rsidR="00043431" w:rsidRPr="0005534E">
        <w:rPr>
          <w:rFonts w:ascii="Times New Roman" w:hAnsi="Times New Roman" w:cs="Times New Roman"/>
        </w:rPr>
        <w:t xml:space="preserve"> and </w:t>
      </w:r>
      <w:r w:rsidR="00D6781E">
        <w:rPr>
          <w:rFonts w:ascii="Times New Roman" w:hAnsi="Times New Roman" w:cs="Times New Roman"/>
        </w:rPr>
        <w:t>in combination with the benevolent giving of the Masons of Texas pr</w:t>
      </w:r>
      <w:r w:rsidR="00043431" w:rsidRPr="0005534E">
        <w:rPr>
          <w:rFonts w:ascii="Times New Roman" w:hAnsi="Times New Roman" w:cs="Times New Roman"/>
        </w:rPr>
        <w:t xml:space="preserve">ovided $50,000 to Central Texas Lodges to assist </w:t>
      </w:r>
      <w:r w:rsidR="0005534E" w:rsidRPr="0005534E">
        <w:rPr>
          <w:rFonts w:ascii="Times New Roman" w:hAnsi="Times New Roman" w:cs="Times New Roman"/>
        </w:rPr>
        <w:t xml:space="preserve">their communities.  The </w:t>
      </w:r>
      <w:r w:rsidR="0096041C" w:rsidRPr="0005534E">
        <w:rPr>
          <w:rFonts w:ascii="Times New Roman" w:hAnsi="Times New Roman" w:cs="Times New Roman"/>
        </w:rPr>
        <w:t>partner</w:t>
      </w:r>
      <w:r w:rsidR="0005534E" w:rsidRPr="0005534E">
        <w:rPr>
          <w:rFonts w:ascii="Times New Roman" w:hAnsi="Times New Roman" w:cs="Times New Roman"/>
        </w:rPr>
        <w:t>ship with</w:t>
      </w:r>
      <w:r w:rsidR="0096041C" w:rsidRPr="0005534E">
        <w:rPr>
          <w:rFonts w:ascii="Times New Roman" w:hAnsi="Times New Roman" w:cs="Times New Roman"/>
        </w:rPr>
        <w:t xml:space="preserve"> Liberty Hill</w:t>
      </w:r>
      <w:r w:rsidR="00BA5A49" w:rsidRPr="0005534E">
        <w:rPr>
          <w:rFonts w:ascii="Times New Roman" w:hAnsi="Times New Roman" w:cs="Times New Roman"/>
        </w:rPr>
        <w:t xml:space="preserve"> No. 432,</w:t>
      </w:r>
      <w:r w:rsidR="0005534E" w:rsidRPr="0005534E">
        <w:rPr>
          <w:rFonts w:ascii="Times New Roman" w:hAnsi="Times New Roman" w:cs="Times New Roman"/>
        </w:rPr>
        <w:t xml:space="preserve"> </w:t>
      </w:r>
      <w:r w:rsidR="00BA5A49" w:rsidRPr="0005534E">
        <w:rPr>
          <w:rFonts w:ascii="Times New Roman" w:hAnsi="Times New Roman" w:cs="Times New Roman"/>
        </w:rPr>
        <w:t>Kerrville</w:t>
      </w:r>
      <w:r w:rsidR="00B70451" w:rsidRPr="0005534E">
        <w:rPr>
          <w:rFonts w:ascii="Times New Roman" w:hAnsi="Times New Roman" w:cs="Times New Roman"/>
        </w:rPr>
        <w:t xml:space="preserve"> </w:t>
      </w:r>
      <w:r w:rsidR="0005534E" w:rsidRPr="0005534E">
        <w:rPr>
          <w:rFonts w:ascii="Times New Roman" w:hAnsi="Times New Roman" w:cs="Times New Roman"/>
        </w:rPr>
        <w:t>Lodge No. 697, Rising Star Lodge No. 429, Fredericksburg Lodge No. 794, Old River Lodge No. 1441 and San Saba Lodge No. 784 made a positive impact to their respective communities of $107,245.  All of this was accomplished in less than four weeks</w:t>
      </w:r>
      <w:r w:rsidR="00971FDB">
        <w:rPr>
          <w:rFonts w:ascii="Times New Roman" w:hAnsi="Times New Roman" w:cs="Times New Roman"/>
        </w:rPr>
        <w:t xml:space="preserve"> and would not have been possible without the heart of the Texas Mason and the leadership of these respective Lodges.</w:t>
      </w:r>
    </w:p>
    <w:p w14:paraId="6363B5FA" w14:textId="0C2169D2" w:rsidR="0037036A" w:rsidRDefault="0037036A" w:rsidP="006A5E99">
      <w:pPr>
        <w:rPr>
          <w:rFonts w:ascii="Times New Roman" w:hAnsi="Times New Roman" w:cs="Times New Roman"/>
        </w:rPr>
      </w:pPr>
      <w:r>
        <w:rPr>
          <w:rFonts w:ascii="Times New Roman" w:hAnsi="Times New Roman" w:cs="Times New Roman"/>
        </w:rPr>
        <w:t>In March of 2025, the Foundation was recognized as</w:t>
      </w:r>
      <w:r w:rsidR="004B0908">
        <w:rPr>
          <w:rFonts w:ascii="Times New Roman" w:hAnsi="Times New Roman" w:cs="Times New Roman"/>
        </w:rPr>
        <w:t xml:space="preserve"> a Platinum Transparency organization by Candid (formerly </w:t>
      </w:r>
      <w:proofErr w:type="spellStart"/>
      <w:r w:rsidR="004B0908">
        <w:rPr>
          <w:rFonts w:ascii="Times New Roman" w:hAnsi="Times New Roman" w:cs="Times New Roman"/>
        </w:rPr>
        <w:t>Guidestar</w:t>
      </w:r>
      <w:proofErr w:type="spellEnd"/>
      <w:r w:rsidR="004B0908">
        <w:rPr>
          <w:rFonts w:ascii="Times New Roman" w:hAnsi="Times New Roman" w:cs="Times New Roman"/>
        </w:rPr>
        <w:t xml:space="preserve">).  This was </w:t>
      </w:r>
      <w:r w:rsidR="00803E10">
        <w:rPr>
          <w:rFonts w:ascii="Times New Roman" w:hAnsi="Times New Roman" w:cs="Times New Roman"/>
        </w:rPr>
        <w:t xml:space="preserve">a goal of the Directors in hopes that the Foundation may have access to </w:t>
      </w:r>
      <w:r w:rsidR="00276F4C">
        <w:rPr>
          <w:rFonts w:ascii="Times New Roman" w:hAnsi="Times New Roman" w:cs="Times New Roman"/>
        </w:rPr>
        <w:t>more benefactors that align with the tenets and precepts of the Foundation.</w:t>
      </w:r>
    </w:p>
    <w:p w14:paraId="13672805" w14:textId="63DECF39" w:rsidR="003E3EFF" w:rsidRDefault="00D6412C" w:rsidP="003E3EFF">
      <w:pPr>
        <w:pStyle w:val="NormalWeb"/>
        <w:spacing w:before="0" w:beforeAutospacing="0" w:after="0" w:afterAutospacing="0"/>
      </w:pPr>
      <w:r>
        <w:t xml:space="preserve">The </w:t>
      </w:r>
      <w:r w:rsidR="003E3EFF">
        <w:t xml:space="preserve">Mission and Vision for the Texas Masonic Charities Foundation are as follows: </w:t>
      </w:r>
    </w:p>
    <w:p w14:paraId="77770DA6" w14:textId="77777777" w:rsidR="003E3EFF" w:rsidRDefault="003E3EFF" w:rsidP="003E3EFF">
      <w:pPr>
        <w:pStyle w:val="NormalWeb"/>
        <w:numPr>
          <w:ilvl w:val="0"/>
          <w:numId w:val="1"/>
        </w:numPr>
        <w:spacing w:before="0" w:beforeAutospacing="0" w:after="0" w:afterAutospacing="0"/>
        <w:rPr>
          <w:rFonts w:eastAsiaTheme="minorHAnsi"/>
          <w:kern w:val="2"/>
          <w14:ligatures w14:val="standardContextual"/>
        </w:rPr>
      </w:pPr>
      <w:r w:rsidRPr="00452A12">
        <w:rPr>
          <w:rFonts w:eastAsiaTheme="minorHAnsi"/>
          <w:kern w:val="2"/>
          <w14:ligatures w14:val="standardContextual"/>
        </w:rPr>
        <w:t>Promote societal enrichment through quality charitable programs benefiting the students and teachers within our communities.</w:t>
      </w:r>
    </w:p>
    <w:p w14:paraId="2D537E3C" w14:textId="77777777" w:rsidR="003E3EFF" w:rsidRDefault="003E3EFF" w:rsidP="003E3EFF">
      <w:pPr>
        <w:pStyle w:val="NormalWeb"/>
        <w:numPr>
          <w:ilvl w:val="0"/>
          <w:numId w:val="1"/>
        </w:numPr>
        <w:spacing w:before="0" w:beforeAutospacing="0" w:after="0" w:afterAutospacing="0"/>
        <w:rPr>
          <w:rFonts w:eastAsiaTheme="minorHAnsi"/>
          <w:kern w:val="2"/>
          <w14:ligatures w14:val="standardContextual"/>
        </w:rPr>
      </w:pPr>
      <w:r>
        <w:rPr>
          <w:rFonts w:eastAsiaTheme="minorHAnsi"/>
          <w:kern w:val="2"/>
          <w14:ligatures w14:val="standardContextual"/>
        </w:rPr>
        <w:t xml:space="preserve">Our Vision: </w:t>
      </w:r>
      <w:r w:rsidRPr="003A67A1">
        <w:rPr>
          <w:rFonts w:eastAsiaTheme="minorHAnsi"/>
          <w:kern w:val="2"/>
          <w14:ligatures w14:val="standardContextual"/>
        </w:rPr>
        <w:t>To provide a financial and grant based platform by which the Texas Mason can perpetually invest in his community and the long-term prosperity of our great state.</w:t>
      </w:r>
    </w:p>
    <w:p w14:paraId="3F295318" w14:textId="77777777" w:rsidR="005A3819" w:rsidRDefault="005A3819" w:rsidP="003A67A1">
      <w:pPr>
        <w:pStyle w:val="NormalWeb"/>
        <w:spacing w:before="0" w:beforeAutospacing="0" w:after="0" w:afterAutospacing="0"/>
        <w:rPr>
          <w:rFonts w:eastAsiaTheme="minorHAnsi"/>
          <w:kern w:val="2"/>
          <w14:ligatures w14:val="standardContextual"/>
        </w:rPr>
      </w:pPr>
    </w:p>
    <w:p w14:paraId="38606A03" w14:textId="77777777" w:rsidR="0085125F" w:rsidRDefault="008D765B" w:rsidP="003A67A1">
      <w:pPr>
        <w:pStyle w:val="NormalWeb"/>
        <w:spacing w:before="0" w:beforeAutospacing="0" w:after="0" w:afterAutospacing="0"/>
        <w:rPr>
          <w:rFonts w:eastAsiaTheme="minorHAnsi"/>
          <w:kern w:val="2"/>
          <w14:ligatures w14:val="standardContextual"/>
        </w:rPr>
      </w:pPr>
      <w:r>
        <w:rPr>
          <w:rFonts w:eastAsiaTheme="minorHAnsi"/>
          <w:kern w:val="2"/>
          <w14:ligatures w14:val="standardContextual"/>
        </w:rPr>
        <w:t>The Directors are most thankful to the Directors of Square and Compass Holdings.  The Foundation’s giving would not be possible without their partnership</w:t>
      </w:r>
      <w:r w:rsidR="007C7D7B">
        <w:rPr>
          <w:rFonts w:eastAsiaTheme="minorHAnsi"/>
          <w:kern w:val="2"/>
          <w14:ligatures w14:val="standardContextual"/>
        </w:rPr>
        <w:t>, especially</w:t>
      </w:r>
      <w:r w:rsidR="002E6B8B">
        <w:rPr>
          <w:rFonts w:eastAsiaTheme="minorHAnsi"/>
          <w:kern w:val="2"/>
          <w14:ligatures w14:val="standardContextual"/>
        </w:rPr>
        <w:t xml:space="preserve"> as our loss in </w:t>
      </w:r>
      <w:r w:rsidR="0085125F">
        <w:rPr>
          <w:rFonts w:eastAsiaTheme="minorHAnsi"/>
          <w:kern w:val="2"/>
          <w14:ligatures w14:val="standardContextual"/>
        </w:rPr>
        <w:t xml:space="preserve">income continues to be impacted </w:t>
      </w:r>
      <w:proofErr w:type="gramStart"/>
      <w:r w:rsidR="0085125F">
        <w:rPr>
          <w:rFonts w:eastAsiaTheme="minorHAnsi"/>
          <w:kern w:val="2"/>
          <w14:ligatures w14:val="standardContextual"/>
        </w:rPr>
        <w:t>with</w:t>
      </w:r>
      <w:proofErr w:type="gramEnd"/>
      <w:r w:rsidR="0085125F">
        <w:rPr>
          <w:rFonts w:eastAsiaTheme="minorHAnsi"/>
          <w:kern w:val="2"/>
          <w14:ligatures w14:val="standardContextual"/>
        </w:rPr>
        <w:t xml:space="preserve"> the loss of membership</w:t>
      </w:r>
      <w:r>
        <w:rPr>
          <w:rFonts w:eastAsiaTheme="minorHAnsi"/>
          <w:kern w:val="2"/>
          <w14:ligatures w14:val="standardContextual"/>
        </w:rPr>
        <w:t xml:space="preserve">.  </w:t>
      </w:r>
    </w:p>
    <w:p w14:paraId="71D79FE5" w14:textId="77777777" w:rsidR="0085125F" w:rsidRPr="00AF497E" w:rsidRDefault="0085125F" w:rsidP="003A67A1">
      <w:pPr>
        <w:pStyle w:val="NormalWeb"/>
        <w:spacing w:before="0" w:beforeAutospacing="0" w:after="0" w:afterAutospacing="0"/>
        <w:rPr>
          <w:rFonts w:eastAsiaTheme="minorHAnsi"/>
          <w:kern w:val="2"/>
          <w14:ligatures w14:val="standardContextual"/>
        </w:rPr>
      </w:pPr>
    </w:p>
    <w:p w14:paraId="297932E5" w14:textId="77777777" w:rsidR="00AF497E" w:rsidRPr="00AF497E" w:rsidRDefault="00AF497E" w:rsidP="00AF497E">
      <w:pPr>
        <w:pStyle w:val="NormalWeb"/>
        <w:spacing w:before="0" w:beforeAutospacing="0" w:after="0" w:afterAutospacing="0"/>
        <w:rPr>
          <w:rFonts w:eastAsiaTheme="minorHAnsi"/>
          <w:kern w:val="2"/>
          <w14:ligatures w14:val="standardContextual"/>
        </w:rPr>
      </w:pPr>
      <w:r w:rsidRPr="00AF497E">
        <w:rPr>
          <w:rFonts w:eastAsiaTheme="minorHAnsi"/>
          <w:kern w:val="2"/>
          <w14:ligatures w14:val="standardContextual"/>
        </w:rPr>
        <w:t xml:space="preserve">On behalf of the Directors and Members of the Texas Masonic Charities Foundation, I am thankful for the partnership with the Masons of Texas.  We are a unified team.  With a common belief and uncommon commitment, our team satisfied the mission while we continue to live out the vision.  The Foundation is honored to serve each one of you, your Lodges, and the needs of our great state.  </w:t>
      </w:r>
    </w:p>
    <w:p w14:paraId="65E3AAEC" w14:textId="77777777" w:rsidR="008B5DF2" w:rsidRDefault="008B5DF2" w:rsidP="003A67A1">
      <w:pPr>
        <w:pStyle w:val="NormalWeb"/>
        <w:spacing w:before="0" w:beforeAutospacing="0" w:after="0" w:afterAutospacing="0"/>
        <w:rPr>
          <w:rFonts w:eastAsiaTheme="minorHAnsi"/>
          <w:kern w:val="2"/>
          <w14:ligatures w14:val="standardContextual"/>
        </w:rPr>
      </w:pPr>
    </w:p>
    <w:p w14:paraId="0F46E03D" w14:textId="6710C839" w:rsidR="008B5DF2" w:rsidRDefault="008B5DF2" w:rsidP="003A67A1">
      <w:pPr>
        <w:pStyle w:val="NormalWeb"/>
        <w:spacing w:before="0" w:beforeAutospacing="0" w:after="0" w:afterAutospacing="0"/>
        <w:rPr>
          <w:rFonts w:eastAsiaTheme="minorHAnsi"/>
          <w:kern w:val="2"/>
          <w14:ligatures w14:val="standardContextual"/>
        </w:rPr>
      </w:pPr>
      <w:r>
        <w:rPr>
          <w:rFonts w:eastAsiaTheme="minorHAnsi"/>
          <w:kern w:val="2"/>
          <w14:ligatures w14:val="standardContextual"/>
        </w:rPr>
        <w:t>Most Worshi</w:t>
      </w:r>
      <w:r w:rsidR="00944C33">
        <w:rPr>
          <w:rFonts w:eastAsiaTheme="minorHAnsi"/>
          <w:kern w:val="2"/>
          <w14:ligatures w14:val="standardContextual"/>
        </w:rPr>
        <w:t>p</w:t>
      </w:r>
      <w:r>
        <w:rPr>
          <w:rFonts w:eastAsiaTheme="minorHAnsi"/>
          <w:kern w:val="2"/>
          <w14:ligatures w14:val="standardContextual"/>
        </w:rPr>
        <w:t xml:space="preserve">ful Grand Master, this concludes our report.  </w:t>
      </w:r>
      <w:r w:rsidR="00241EB0">
        <w:rPr>
          <w:rFonts w:eastAsiaTheme="minorHAnsi"/>
          <w:kern w:val="2"/>
          <w14:ligatures w14:val="standardContextual"/>
        </w:rPr>
        <w:t xml:space="preserve">Many thanks go to you and First Lady Loretta for identifying the Texas Masonic Charities Foundation as </w:t>
      </w:r>
      <w:r w:rsidR="00944C33">
        <w:rPr>
          <w:rFonts w:eastAsiaTheme="minorHAnsi"/>
          <w:kern w:val="2"/>
          <w14:ligatures w14:val="standardContextual"/>
        </w:rPr>
        <w:t>each of your primary fundraising beneficiaries</w:t>
      </w:r>
      <w:r w:rsidR="00734220">
        <w:rPr>
          <w:rFonts w:eastAsiaTheme="minorHAnsi"/>
          <w:kern w:val="2"/>
          <w14:ligatures w14:val="standardContextual"/>
        </w:rPr>
        <w:t xml:space="preserve"> and allowing us to present at each of your Grand Master Conferences.</w:t>
      </w:r>
    </w:p>
    <w:p w14:paraId="1DD95F41" w14:textId="77777777" w:rsidR="00944C33" w:rsidRDefault="00944C33" w:rsidP="003A67A1">
      <w:pPr>
        <w:pStyle w:val="NormalWeb"/>
        <w:spacing w:before="0" w:beforeAutospacing="0" w:after="0" w:afterAutospacing="0"/>
        <w:rPr>
          <w:rFonts w:eastAsiaTheme="minorHAnsi"/>
          <w:kern w:val="2"/>
          <w14:ligatures w14:val="standardContextual"/>
        </w:rPr>
      </w:pPr>
    </w:p>
    <w:p w14:paraId="172455FB" w14:textId="77777777" w:rsidR="00944C33" w:rsidRDefault="00944C33" w:rsidP="003A67A1">
      <w:pPr>
        <w:pStyle w:val="NormalWeb"/>
        <w:spacing w:before="0" w:beforeAutospacing="0" w:after="0" w:afterAutospacing="0"/>
        <w:rPr>
          <w:rFonts w:eastAsiaTheme="minorHAnsi"/>
          <w:kern w:val="2"/>
          <w14:ligatures w14:val="standardContextual"/>
        </w:rPr>
      </w:pPr>
    </w:p>
    <w:p w14:paraId="5FF93685" w14:textId="4A399696" w:rsidR="00944C33" w:rsidRDefault="00944C33" w:rsidP="003A67A1">
      <w:pPr>
        <w:pStyle w:val="NormalWeb"/>
        <w:spacing w:before="0" w:beforeAutospacing="0" w:after="0" w:afterAutospacing="0"/>
        <w:rPr>
          <w:rFonts w:eastAsiaTheme="minorHAnsi"/>
          <w:kern w:val="2"/>
          <w14:ligatures w14:val="standardContextual"/>
        </w:rPr>
      </w:pPr>
      <w:r>
        <w:rPr>
          <w:rFonts w:eastAsiaTheme="minorHAnsi"/>
          <w:kern w:val="2"/>
          <w14:ligatures w14:val="standardContextual"/>
        </w:rPr>
        <w:t>Cody Cockroft, PM</w:t>
      </w:r>
    </w:p>
    <w:p w14:paraId="69A3E0D3" w14:textId="457B5A4F" w:rsidR="00944C33" w:rsidRDefault="00F54B3C" w:rsidP="003A67A1">
      <w:pPr>
        <w:pStyle w:val="NormalWeb"/>
        <w:spacing w:before="0" w:beforeAutospacing="0" w:after="0" w:afterAutospacing="0"/>
      </w:pPr>
      <w:r>
        <w:rPr>
          <w:rFonts w:eastAsiaTheme="minorHAnsi"/>
          <w:kern w:val="2"/>
          <w14:ligatures w14:val="standardContextual"/>
        </w:rPr>
        <w:t>Texas Masonic Charities Foundation, President</w:t>
      </w:r>
    </w:p>
    <w:p w14:paraId="75006CF9" w14:textId="6A198965" w:rsidR="003A67A1" w:rsidRDefault="003A67A1" w:rsidP="00452A12">
      <w:pPr>
        <w:pStyle w:val="NormalWeb"/>
        <w:spacing w:before="0" w:beforeAutospacing="0" w:after="0" w:afterAutospacing="0"/>
      </w:pPr>
    </w:p>
    <w:p w14:paraId="117CBB15" w14:textId="153FAFB8" w:rsidR="004C674E" w:rsidRPr="0005534E" w:rsidRDefault="004C674E" w:rsidP="006A5E99">
      <w:pPr>
        <w:rPr>
          <w:rFonts w:ascii="Times New Roman" w:hAnsi="Times New Roman" w:cs="Times New Roman"/>
        </w:rPr>
      </w:pPr>
    </w:p>
    <w:sectPr w:rsidR="004C674E" w:rsidRPr="000553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368B7" w14:textId="77777777" w:rsidR="00395A4C" w:rsidRDefault="00395A4C" w:rsidP="00473E84">
      <w:pPr>
        <w:spacing w:after="0" w:line="240" w:lineRule="auto"/>
      </w:pPr>
      <w:r>
        <w:separator/>
      </w:r>
    </w:p>
  </w:endnote>
  <w:endnote w:type="continuationSeparator" w:id="0">
    <w:p w14:paraId="35B8198E" w14:textId="77777777" w:rsidR="00395A4C" w:rsidRDefault="00395A4C" w:rsidP="00473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2673407"/>
      <w:docPartObj>
        <w:docPartGallery w:val="Page Numbers (Bottom of Page)"/>
        <w:docPartUnique/>
      </w:docPartObj>
    </w:sdtPr>
    <w:sdtEndPr>
      <w:rPr>
        <w:noProof/>
      </w:rPr>
    </w:sdtEndPr>
    <w:sdtContent>
      <w:p w14:paraId="08A28FC1" w14:textId="30E40EE4" w:rsidR="00473E84" w:rsidRDefault="00473E8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522185" w14:textId="77777777" w:rsidR="00473E84" w:rsidRDefault="00473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BEF71" w14:textId="77777777" w:rsidR="00395A4C" w:rsidRDefault="00395A4C" w:rsidP="00473E84">
      <w:pPr>
        <w:spacing w:after="0" w:line="240" w:lineRule="auto"/>
      </w:pPr>
      <w:r>
        <w:separator/>
      </w:r>
    </w:p>
  </w:footnote>
  <w:footnote w:type="continuationSeparator" w:id="0">
    <w:p w14:paraId="08FF7609" w14:textId="77777777" w:rsidR="00395A4C" w:rsidRDefault="00395A4C" w:rsidP="00473E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693CF2"/>
    <w:multiLevelType w:val="hybridMultilevel"/>
    <w:tmpl w:val="139CB59C"/>
    <w:lvl w:ilvl="0" w:tplc="0E6C8E5E">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651716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B6"/>
    <w:rsid w:val="00000557"/>
    <w:rsid w:val="00021365"/>
    <w:rsid w:val="00034CC6"/>
    <w:rsid w:val="00043431"/>
    <w:rsid w:val="00045E1B"/>
    <w:rsid w:val="0005534E"/>
    <w:rsid w:val="0006110E"/>
    <w:rsid w:val="00075187"/>
    <w:rsid w:val="0008096E"/>
    <w:rsid w:val="0008571B"/>
    <w:rsid w:val="000A6BED"/>
    <w:rsid w:val="000B7256"/>
    <w:rsid w:val="000E118B"/>
    <w:rsid w:val="000E2EE2"/>
    <w:rsid w:val="001359BD"/>
    <w:rsid w:val="00142486"/>
    <w:rsid w:val="0014598B"/>
    <w:rsid w:val="0015457A"/>
    <w:rsid w:val="00192089"/>
    <w:rsid w:val="001A0171"/>
    <w:rsid w:val="001B2767"/>
    <w:rsid w:val="001B2D69"/>
    <w:rsid w:val="001F18FA"/>
    <w:rsid w:val="001F5707"/>
    <w:rsid w:val="00241EB0"/>
    <w:rsid w:val="00243AAA"/>
    <w:rsid w:val="002570B6"/>
    <w:rsid w:val="00270F51"/>
    <w:rsid w:val="00276F4C"/>
    <w:rsid w:val="00293953"/>
    <w:rsid w:val="002B0675"/>
    <w:rsid w:val="002B5110"/>
    <w:rsid w:val="002C2587"/>
    <w:rsid w:val="002E6B8B"/>
    <w:rsid w:val="002F5B56"/>
    <w:rsid w:val="00321400"/>
    <w:rsid w:val="0033113E"/>
    <w:rsid w:val="00345F6E"/>
    <w:rsid w:val="0037036A"/>
    <w:rsid w:val="00374ED4"/>
    <w:rsid w:val="00380674"/>
    <w:rsid w:val="00390C22"/>
    <w:rsid w:val="003959F8"/>
    <w:rsid w:val="00395A4C"/>
    <w:rsid w:val="003A67A1"/>
    <w:rsid w:val="003C1EBB"/>
    <w:rsid w:val="003E134A"/>
    <w:rsid w:val="003E3EFF"/>
    <w:rsid w:val="00401002"/>
    <w:rsid w:val="00444C8A"/>
    <w:rsid w:val="00452A12"/>
    <w:rsid w:val="004544A6"/>
    <w:rsid w:val="00473E84"/>
    <w:rsid w:val="00492E78"/>
    <w:rsid w:val="0049672C"/>
    <w:rsid w:val="004B0908"/>
    <w:rsid w:val="004B3DF5"/>
    <w:rsid w:val="004C674E"/>
    <w:rsid w:val="004D0C30"/>
    <w:rsid w:val="004D45B4"/>
    <w:rsid w:val="0054393E"/>
    <w:rsid w:val="00554D32"/>
    <w:rsid w:val="00572165"/>
    <w:rsid w:val="00584942"/>
    <w:rsid w:val="00586886"/>
    <w:rsid w:val="005A3819"/>
    <w:rsid w:val="005A6D58"/>
    <w:rsid w:val="005E10FE"/>
    <w:rsid w:val="00605B89"/>
    <w:rsid w:val="00633F36"/>
    <w:rsid w:val="00646B34"/>
    <w:rsid w:val="00656D55"/>
    <w:rsid w:val="00671D0B"/>
    <w:rsid w:val="0069093C"/>
    <w:rsid w:val="006955A4"/>
    <w:rsid w:val="006955F8"/>
    <w:rsid w:val="006A5E99"/>
    <w:rsid w:val="006F026A"/>
    <w:rsid w:val="0072221A"/>
    <w:rsid w:val="00734220"/>
    <w:rsid w:val="00752232"/>
    <w:rsid w:val="00777E15"/>
    <w:rsid w:val="007A5660"/>
    <w:rsid w:val="007B5624"/>
    <w:rsid w:val="007C4752"/>
    <w:rsid w:val="007C7D7B"/>
    <w:rsid w:val="007D2DFB"/>
    <w:rsid w:val="007D7E96"/>
    <w:rsid w:val="007F04C0"/>
    <w:rsid w:val="007F4EF1"/>
    <w:rsid w:val="007F725E"/>
    <w:rsid w:val="00803E10"/>
    <w:rsid w:val="0085125F"/>
    <w:rsid w:val="00860C7C"/>
    <w:rsid w:val="0087581D"/>
    <w:rsid w:val="00876298"/>
    <w:rsid w:val="0088531B"/>
    <w:rsid w:val="0089549F"/>
    <w:rsid w:val="008B5DF2"/>
    <w:rsid w:val="008D6021"/>
    <w:rsid w:val="008D765B"/>
    <w:rsid w:val="008F3FC5"/>
    <w:rsid w:val="00927A01"/>
    <w:rsid w:val="00942906"/>
    <w:rsid w:val="00944C33"/>
    <w:rsid w:val="009459B0"/>
    <w:rsid w:val="0096041C"/>
    <w:rsid w:val="009711A2"/>
    <w:rsid w:val="00971FDB"/>
    <w:rsid w:val="009A779F"/>
    <w:rsid w:val="009C18E3"/>
    <w:rsid w:val="009C74F4"/>
    <w:rsid w:val="00A035FA"/>
    <w:rsid w:val="00A13890"/>
    <w:rsid w:val="00A16220"/>
    <w:rsid w:val="00A81029"/>
    <w:rsid w:val="00A842E4"/>
    <w:rsid w:val="00AD6FA7"/>
    <w:rsid w:val="00AF497E"/>
    <w:rsid w:val="00B37236"/>
    <w:rsid w:val="00B46A1A"/>
    <w:rsid w:val="00B70451"/>
    <w:rsid w:val="00B92C00"/>
    <w:rsid w:val="00B94560"/>
    <w:rsid w:val="00BA5A49"/>
    <w:rsid w:val="00BB5146"/>
    <w:rsid w:val="00C56DEC"/>
    <w:rsid w:val="00C61A1B"/>
    <w:rsid w:val="00C75C5A"/>
    <w:rsid w:val="00C76BB4"/>
    <w:rsid w:val="00C8668C"/>
    <w:rsid w:val="00CB3CCE"/>
    <w:rsid w:val="00CC7AA0"/>
    <w:rsid w:val="00CD1417"/>
    <w:rsid w:val="00CF413E"/>
    <w:rsid w:val="00D10F86"/>
    <w:rsid w:val="00D16ABE"/>
    <w:rsid w:val="00D316FF"/>
    <w:rsid w:val="00D42B65"/>
    <w:rsid w:val="00D56FFF"/>
    <w:rsid w:val="00D6412C"/>
    <w:rsid w:val="00D6781E"/>
    <w:rsid w:val="00D72DC5"/>
    <w:rsid w:val="00D73528"/>
    <w:rsid w:val="00D769D1"/>
    <w:rsid w:val="00D9664C"/>
    <w:rsid w:val="00DB3374"/>
    <w:rsid w:val="00DF7774"/>
    <w:rsid w:val="00E668F0"/>
    <w:rsid w:val="00E90177"/>
    <w:rsid w:val="00EB04FA"/>
    <w:rsid w:val="00EF2707"/>
    <w:rsid w:val="00F10DCE"/>
    <w:rsid w:val="00F11942"/>
    <w:rsid w:val="00F31911"/>
    <w:rsid w:val="00F459C0"/>
    <w:rsid w:val="00F54B3C"/>
    <w:rsid w:val="00F56730"/>
    <w:rsid w:val="00F9119C"/>
    <w:rsid w:val="00F95BEB"/>
    <w:rsid w:val="00FB3F4B"/>
    <w:rsid w:val="00FC448E"/>
    <w:rsid w:val="00FD5230"/>
    <w:rsid w:val="00FE337B"/>
    <w:rsid w:val="00FE5F57"/>
    <w:rsid w:val="00FE6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5CA7"/>
  <w15:chartTrackingRefBased/>
  <w15:docId w15:val="{84D29907-4F1A-4A88-A9A1-DDB9CF2B0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0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70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70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70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70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70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0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0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0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0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70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70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70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70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70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0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0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0B6"/>
    <w:rPr>
      <w:rFonts w:eastAsiaTheme="majorEastAsia" w:cstheme="majorBidi"/>
      <w:color w:val="272727" w:themeColor="text1" w:themeTint="D8"/>
    </w:rPr>
  </w:style>
  <w:style w:type="paragraph" w:styleId="Title">
    <w:name w:val="Title"/>
    <w:basedOn w:val="Normal"/>
    <w:next w:val="Normal"/>
    <w:link w:val="TitleChar"/>
    <w:uiPriority w:val="10"/>
    <w:qFormat/>
    <w:rsid w:val="00257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0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0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0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0B6"/>
    <w:pPr>
      <w:spacing w:before="160"/>
      <w:jc w:val="center"/>
    </w:pPr>
    <w:rPr>
      <w:i/>
      <w:iCs/>
      <w:color w:val="404040" w:themeColor="text1" w:themeTint="BF"/>
    </w:rPr>
  </w:style>
  <w:style w:type="character" w:customStyle="1" w:styleId="QuoteChar">
    <w:name w:val="Quote Char"/>
    <w:basedOn w:val="DefaultParagraphFont"/>
    <w:link w:val="Quote"/>
    <w:uiPriority w:val="29"/>
    <w:rsid w:val="002570B6"/>
    <w:rPr>
      <w:i/>
      <w:iCs/>
      <w:color w:val="404040" w:themeColor="text1" w:themeTint="BF"/>
    </w:rPr>
  </w:style>
  <w:style w:type="paragraph" w:styleId="ListParagraph">
    <w:name w:val="List Paragraph"/>
    <w:basedOn w:val="Normal"/>
    <w:uiPriority w:val="34"/>
    <w:qFormat/>
    <w:rsid w:val="002570B6"/>
    <w:pPr>
      <w:ind w:left="720"/>
      <w:contextualSpacing/>
    </w:pPr>
  </w:style>
  <w:style w:type="character" w:styleId="IntenseEmphasis">
    <w:name w:val="Intense Emphasis"/>
    <w:basedOn w:val="DefaultParagraphFont"/>
    <w:uiPriority w:val="21"/>
    <w:qFormat/>
    <w:rsid w:val="002570B6"/>
    <w:rPr>
      <w:i/>
      <w:iCs/>
      <w:color w:val="0F4761" w:themeColor="accent1" w:themeShade="BF"/>
    </w:rPr>
  </w:style>
  <w:style w:type="paragraph" w:styleId="IntenseQuote">
    <w:name w:val="Intense Quote"/>
    <w:basedOn w:val="Normal"/>
    <w:next w:val="Normal"/>
    <w:link w:val="IntenseQuoteChar"/>
    <w:uiPriority w:val="30"/>
    <w:qFormat/>
    <w:rsid w:val="002570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70B6"/>
    <w:rPr>
      <w:i/>
      <w:iCs/>
      <w:color w:val="0F4761" w:themeColor="accent1" w:themeShade="BF"/>
    </w:rPr>
  </w:style>
  <w:style w:type="character" w:styleId="IntenseReference">
    <w:name w:val="Intense Reference"/>
    <w:basedOn w:val="DefaultParagraphFont"/>
    <w:uiPriority w:val="32"/>
    <w:qFormat/>
    <w:rsid w:val="002570B6"/>
    <w:rPr>
      <w:b/>
      <w:bCs/>
      <w:smallCaps/>
      <w:color w:val="0F4761" w:themeColor="accent1" w:themeShade="BF"/>
      <w:spacing w:val="5"/>
    </w:rPr>
  </w:style>
  <w:style w:type="table" w:styleId="TableGrid">
    <w:name w:val="Table Grid"/>
    <w:basedOn w:val="TableNormal"/>
    <w:uiPriority w:val="39"/>
    <w:rsid w:val="00875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52A1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473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E84"/>
  </w:style>
  <w:style w:type="paragraph" w:styleId="Footer">
    <w:name w:val="footer"/>
    <w:basedOn w:val="Normal"/>
    <w:link w:val="FooterChar"/>
    <w:uiPriority w:val="99"/>
    <w:unhideWhenUsed/>
    <w:rsid w:val="00473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Cockroft</dc:creator>
  <cp:keywords/>
  <dc:description/>
  <cp:lastModifiedBy>Cody Cockroft</cp:lastModifiedBy>
  <cp:revision>42</cp:revision>
  <dcterms:created xsi:type="dcterms:W3CDTF">2026-01-12T21:44:00Z</dcterms:created>
  <dcterms:modified xsi:type="dcterms:W3CDTF">2026-01-12T22:28:00Z</dcterms:modified>
</cp:coreProperties>
</file>