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12F3F" w14:textId="698E49AE" w:rsidR="003A2817" w:rsidRDefault="00FF37E4" w:rsidP="00F43839">
      <w:pPr>
        <w:suppressAutoHyphens w:val="0"/>
        <w:rPr>
          <w:rFonts w:ascii="Akaya Telivigala" w:hAnsi="Akaya Telivigala" w:cs="Akaya Telivigala"/>
          <w:b/>
          <w:bCs/>
          <w:sz w:val="72"/>
          <w:szCs w:val="72"/>
        </w:rPr>
      </w:pPr>
      <w:bookmarkStart w:id="0" w:name="_Hlk181958125"/>
      <w:bookmarkEnd w:id="0"/>
      <w:r w:rsidRPr="009E5AA5">
        <w:rPr>
          <w:rFonts w:ascii="Akaya Telivigala" w:hAnsi="Akaya Telivigala" w:cs="Akaya Telivigala"/>
          <w:b/>
          <w:bCs/>
          <w:noProof/>
          <w:sz w:val="72"/>
          <w:szCs w:val="72"/>
        </w:rPr>
        <w:drawing>
          <wp:inline distT="0" distB="0" distL="0" distR="0" wp14:anchorId="12AD7AE5" wp14:editId="24505F23">
            <wp:extent cx="5486400" cy="2194317"/>
            <wp:effectExtent l="0" t="0" r="0" b="0"/>
            <wp:docPr id="1944067557" name="Picture 33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067557" name="Picture 33" descr="A green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9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57336" w14:textId="77777777" w:rsidR="003A2817" w:rsidRDefault="003A2817" w:rsidP="00F43839">
      <w:pPr>
        <w:suppressAutoHyphens w:val="0"/>
        <w:rPr>
          <w:rFonts w:ascii="Akaya Telivigala" w:hAnsi="Akaya Telivigala" w:cs="Akaya Telivigala"/>
          <w:b/>
          <w:bCs/>
          <w:sz w:val="72"/>
          <w:szCs w:val="72"/>
        </w:rPr>
      </w:pPr>
    </w:p>
    <w:p w14:paraId="3F8B2D13" w14:textId="79B162BE" w:rsidR="009831CA" w:rsidRPr="003A2817" w:rsidRDefault="009831CA" w:rsidP="00FF37E4">
      <w:pPr>
        <w:suppressAutoHyphens w:val="0"/>
        <w:rPr>
          <w:rFonts w:ascii="Akaya Telivigala" w:hAnsi="Akaya Telivigala" w:cs="Akaya Telivigala"/>
          <w:b/>
          <w:bCs/>
          <w:sz w:val="72"/>
          <w:szCs w:val="72"/>
        </w:rPr>
      </w:pPr>
    </w:p>
    <w:tbl>
      <w:tblPr>
        <w:tblpPr w:leftFromText="180" w:rightFromText="180" w:vertAnchor="text" w:horzAnchor="margin" w:tblpXSpec="center" w:tblpY="4396"/>
        <w:tblW w:w="9720" w:type="dxa"/>
        <w:shd w:val="clear" w:color="auto" w:fill="5C8A00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6"/>
        <w:gridCol w:w="3268"/>
        <w:gridCol w:w="3866"/>
      </w:tblGrid>
      <w:tr w:rsidR="00AD1FAF" w:rsidRPr="00FA6132" w14:paraId="6D40ACCE" w14:textId="77777777" w:rsidTr="00C86639">
        <w:tc>
          <w:tcPr>
            <w:tcW w:w="2586" w:type="dxa"/>
            <w:tcBorders>
              <w:bottom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E90EB20" w14:textId="77777777" w:rsidR="00AD1FAF" w:rsidRPr="00FA6132" w:rsidRDefault="00AD1FAF" w:rsidP="00C86639">
            <w:pPr>
              <w:suppressAutoHyphens w:val="0"/>
              <w:autoSpaceDN/>
              <w:spacing w:after="120" w:line="240" w:lineRule="auto"/>
              <w:rPr>
                <w:rFonts w:ascii="Akaya Telivigala" w:hAnsi="Akaya Telivigala" w:cs="Akaya Telivigala"/>
                <w:b/>
                <w:bCs/>
                <w:kern w:val="2"/>
                <w14:ligatures w14:val="standardContextual"/>
              </w:rPr>
            </w:pPr>
            <w:r w:rsidRPr="00FA6132">
              <w:rPr>
                <w:rFonts w:ascii="Akaya Telivigala" w:hAnsi="Akaya Telivigala" w:cs="Akaya Telivigala"/>
                <w:b/>
                <w:bCs/>
                <w:kern w:val="2"/>
                <w14:ligatures w14:val="standardContextual"/>
              </w:rPr>
              <w:t>Written by:</w:t>
            </w:r>
          </w:p>
        </w:tc>
        <w:tc>
          <w:tcPr>
            <w:tcW w:w="3268" w:type="dxa"/>
            <w:tcBorders>
              <w:bottom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8990212" w14:textId="014EF1E7" w:rsidR="00AD1FAF" w:rsidRPr="00FA6132" w:rsidRDefault="00AD1FAF" w:rsidP="00C86639">
            <w:pPr>
              <w:suppressAutoHyphens w:val="0"/>
              <w:autoSpaceDN/>
              <w:spacing w:after="120" w:line="240" w:lineRule="auto"/>
              <w:ind w:right="850"/>
              <w:rPr>
                <w:rFonts w:ascii="Akaya Telivigala" w:hAnsi="Akaya Telivigala" w:cs="Akaya Telivigala"/>
                <w:b/>
                <w:bCs/>
                <w:kern w:val="2"/>
                <w14:ligatures w14:val="standardContextual"/>
              </w:rPr>
            </w:pPr>
            <w:r w:rsidRPr="00FA6132">
              <w:rPr>
                <w:rFonts w:ascii="Akaya Telivigala" w:hAnsi="Akaya Telivigala" w:cs="Akaya Telivigala"/>
                <w:b/>
                <w:bCs/>
                <w:kern w:val="2"/>
                <w14:ligatures w14:val="standardContextual"/>
              </w:rPr>
              <w:t xml:space="preserve">      </w:t>
            </w:r>
            <w:r w:rsidR="00FF37E4">
              <w:rPr>
                <w:rFonts w:ascii="Akaya Telivigala" w:hAnsi="Akaya Telivigala" w:cs="Akaya Telivigala"/>
                <w:b/>
                <w:bCs/>
                <w:kern w:val="2"/>
                <w14:ligatures w14:val="standardContextual"/>
              </w:rPr>
              <w:t>Rob Stevenson</w:t>
            </w:r>
          </w:p>
        </w:tc>
        <w:tc>
          <w:tcPr>
            <w:tcW w:w="3866" w:type="dxa"/>
            <w:tcBorders>
              <w:bottom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0F11F0A" w14:textId="0576E94E" w:rsidR="00AD1FAF" w:rsidRPr="00FA6132" w:rsidRDefault="00AD1FAF" w:rsidP="00C86639">
            <w:pPr>
              <w:suppressAutoHyphens w:val="0"/>
              <w:autoSpaceDN/>
              <w:spacing w:after="120" w:line="240" w:lineRule="auto"/>
              <w:ind w:right="850"/>
              <w:rPr>
                <w:rFonts w:ascii="Akaya Telivigala" w:hAnsi="Akaya Telivigala" w:cs="Akaya Telivigala"/>
                <w:b/>
                <w:bCs/>
                <w:kern w:val="2"/>
                <w14:ligatures w14:val="standardContextual"/>
              </w:rPr>
            </w:pPr>
            <w:r w:rsidRPr="00FA6132">
              <w:rPr>
                <w:rFonts w:ascii="Akaya Telivigala" w:hAnsi="Akaya Telivigala" w:cs="Akaya Telivigala"/>
                <w:b/>
                <w:bCs/>
                <w:kern w:val="2"/>
                <w14:ligatures w14:val="standardContextual"/>
              </w:rPr>
              <w:t xml:space="preserve"> Date:  </w:t>
            </w:r>
            <w:r w:rsidR="00FF37E4">
              <w:rPr>
                <w:rFonts w:ascii="Akaya Telivigala" w:hAnsi="Akaya Telivigala" w:cs="Akaya Telivigala"/>
                <w:b/>
                <w:bCs/>
                <w:kern w:val="2"/>
                <w14:ligatures w14:val="standardContextual"/>
              </w:rPr>
              <w:t xml:space="preserve">December </w:t>
            </w:r>
            <w:r w:rsidRPr="00FA6132">
              <w:rPr>
                <w:rFonts w:ascii="Akaya Telivigala" w:hAnsi="Akaya Telivigala" w:cs="Akaya Telivigala"/>
                <w:b/>
                <w:bCs/>
                <w:kern w:val="2"/>
                <w14:ligatures w14:val="standardContextual"/>
              </w:rPr>
              <w:t>2024</w:t>
            </w:r>
          </w:p>
        </w:tc>
      </w:tr>
      <w:tr w:rsidR="00AD1FAF" w:rsidRPr="00FA6132" w14:paraId="53AF67ED" w14:textId="77777777" w:rsidTr="00C86639">
        <w:tc>
          <w:tcPr>
            <w:tcW w:w="2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5324382" w14:textId="77777777" w:rsidR="00AD1FAF" w:rsidRPr="00FA6132" w:rsidRDefault="00AD1FAF" w:rsidP="00C86639">
            <w:pPr>
              <w:suppressAutoHyphens w:val="0"/>
              <w:autoSpaceDN/>
              <w:spacing w:after="120" w:line="240" w:lineRule="auto"/>
              <w:rPr>
                <w:rFonts w:ascii="Akaya Telivigala" w:hAnsi="Akaya Telivigala" w:cs="Akaya Telivigala"/>
                <w:b/>
                <w:bCs/>
                <w:kern w:val="2"/>
                <w14:ligatures w14:val="standardContextual"/>
              </w:rPr>
            </w:pPr>
            <w:r w:rsidRPr="00FA6132">
              <w:rPr>
                <w:rFonts w:ascii="Akaya Telivigala" w:hAnsi="Akaya Telivigala" w:cs="Akaya Telivigala"/>
                <w:b/>
                <w:bCs/>
                <w:kern w:val="2"/>
                <w14:ligatures w14:val="standardContextual"/>
              </w:rPr>
              <w:t>Last reviewed on: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454C8FD" w14:textId="77777777" w:rsidR="00AD1FAF" w:rsidRPr="00FA6132" w:rsidRDefault="00AD1FAF" w:rsidP="00C86639">
            <w:pPr>
              <w:suppressAutoHyphens w:val="0"/>
              <w:autoSpaceDN/>
              <w:spacing w:after="120" w:line="240" w:lineRule="auto"/>
              <w:ind w:right="850"/>
              <w:rPr>
                <w:rFonts w:ascii="Akaya Telivigala" w:hAnsi="Akaya Telivigala" w:cs="Akaya Telivigala"/>
                <w:b/>
                <w:bCs/>
                <w:kern w:val="2"/>
                <w14:ligatures w14:val="standardContextual"/>
              </w:rPr>
            </w:pPr>
            <w:r w:rsidRPr="00FA6132">
              <w:rPr>
                <w:rFonts w:ascii="Akaya Telivigala" w:hAnsi="Akaya Telivigala" w:cs="Akaya Telivigala"/>
                <w:b/>
                <w:bCs/>
                <w:kern w:val="2"/>
                <w14:ligatures w14:val="standardContextual"/>
              </w:rPr>
              <w:t xml:space="preserve">      NEW</w:t>
            </w:r>
          </w:p>
        </w:tc>
      </w:tr>
      <w:tr w:rsidR="00AD1FAF" w:rsidRPr="00FA6132" w14:paraId="2BD45C03" w14:textId="77777777" w:rsidTr="00C86639">
        <w:tc>
          <w:tcPr>
            <w:tcW w:w="2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B32DD05" w14:textId="77777777" w:rsidR="00AD1FAF" w:rsidRPr="00FA6132" w:rsidRDefault="00AD1FAF" w:rsidP="00C86639">
            <w:pPr>
              <w:suppressAutoHyphens w:val="0"/>
              <w:autoSpaceDN/>
              <w:spacing w:after="120" w:line="240" w:lineRule="auto"/>
              <w:rPr>
                <w:rFonts w:ascii="Akaya Telivigala" w:hAnsi="Akaya Telivigala" w:cs="Akaya Telivigala"/>
                <w:b/>
                <w:bCs/>
                <w:kern w:val="2"/>
                <w14:ligatures w14:val="standardContextual"/>
              </w:rPr>
            </w:pPr>
            <w:r w:rsidRPr="00FA6132">
              <w:rPr>
                <w:rFonts w:ascii="Akaya Telivigala" w:hAnsi="Akaya Telivigala" w:cs="Akaya Telivigala"/>
                <w:b/>
                <w:bCs/>
                <w:kern w:val="2"/>
                <w14:ligatures w14:val="standardContextual"/>
              </w:rPr>
              <w:t xml:space="preserve">Approved by: 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955CE33" w14:textId="68EE6E6F" w:rsidR="00AD1FAF" w:rsidRPr="00FA6132" w:rsidRDefault="00FF37E4" w:rsidP="00C86639">
            <w:pPr>
              <w:suppressAutoHyphens w:val="0"/>
              <w:autoSpaceDN/>
              <w:spacing w:after="120" w:line="240" w:lineRule="auto"/>
              <w:ind w:right="850"/>
              <w:rPr>
                <w:rFonts w:ascii="Akaya Telivigala" w:hAnsi="Akaya Telivigala" w:cs="Akaya Telivigala"/>
                <w:b/>
                <w:bCs/>
                <w:kern w:val="2"/>
                <w14:ligatures w14:val="standardContextual"/>
              </w:rPr>
            </w:pPr>
            <w:r>
              <w:rPr>
                <w:rFonts w:ascii="Akaya Telivigala" w:hAnsi="Akaya Telivigala" w:cs="Akaya Telivigala"/>
                <w:b/>
                <w:bCs/>
                <w:kern w:val="2"/>
                <w14:ligatures w14:val="standardContextual"/>
              </w:rPr>
              <w:t>Andrew Powell (Proprietor)</w:t>
            </w:r>
          </w:p>
        </w:tc>
      </w:tr>
      <w:tr w:rsidR="00AD1FAF" w:rsidRPr="00FA6132" w14:paraId="551E461E" w14:textId="77777777" w:rsidTr="00C86639">
        <w:tc>
          <w:tcPr>
            <w:tcW w:w="2586" w:type="dxa"/>
            <w:tcBorders>
              <w:top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DA9EA2" w14:textId="77777777" w:rsidR="00AD1FAF" w:rsidRPr="00FA6132" w:rsidRDefault="00AD1FAF" w:rsidP="00C86639">
            <w:pPr>
              <w:suppressAutoHyphens w:val="0"/>
              <w:autoSpaceDN/>
              <w:spacing w:after="120" w:line="240" w:lineRule="auto"/>
              <w:rPr>
                <w:rFonts w:ascii="Akaya Telivigala" w:hAnsi="Akaya Telivigala" w:cs="Akaya Telivigala"/>
                <w:b/>
                <w:bCs/>
                <w:kern w:val="2"/>
                <w14:ligatures w14:val="standardContextual"/>
              </w:rPr>
            </w:pPr>
            <w:r w:rsidRPr="00FA6132">
              <w:rPr>
                <w:rFonts w:ascii="Akaya Telivigala" w:hAnsi="Akaya Telivigala" w:cs="Akaya Telivigala"/>
                <w:b/>
                <w:bCs/>
                <w:kern w:val="2"/>
                <w14:ligatures w14:val="standardContextual"/>
              </w:rPr>
              <w:t>Next review due by: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A046187" w14:textId="221EE10F" w:rsidR="00AD1FAF" w:rsidRPr="00FA6132" w:rsidRDefault="00AD1FAF" w:rsidP="00C86639">
            <w:pPr>
              <w:suppressAutoHyphens w:val="0"/>
              <w:autoSpaceDN/>
              <w:spacing w:after="120" w:line="240" w:lineRule="auto"/>
              <w:ind w:right="850"/>
              <w:rPr>
                <w:rFonts w:ascii="Akaya Telivigala" w:hAnsi="Akaya Telivigala" w:cs="Akaya Telivigala"/>
                <w:b/>
                <w:bCs/>
                <w:kern w:val="2"/>
                <w14:ligatures w14:val="standardContextual"/>
              </w:rPr>
            </w:pPr>
            <w:r w:rsidRPr="00FA6132">
              <w:rPr>
                <w:rFonts w:ascii="Akaya Telivigala" w:hAnsi="Akaya Telivigala" w:cs="Akaya Telivigala"/>
                <w:b/>
                <w:bCs/>
                <w:kern w:val="2"/>
                <w14:ligatures w14:val="standardContextual"/>
              </w:rPr>
              <w:t xml:space="preserve">    </w:t>
            </w:r>
            <w:r w:rsidR="00FF37E4">
              <w:rPr>
                <w:rFonts w:ascii="Akaya Telivigala" w:hAnsi="Akaya Telivigala" w:cs="Akaya Telivigala"/>
                <w:b/>
                <w:bCs/>
                <w:kern w:val="2"/>
                <w14:ligatures w14:val="standardContextual"/>
              </w:rPr>
              <w:t xml:space="preserve">December </w:t>
            </w:r>
            <w:r w:rsidRPr="00FA6132">
              <w:rPr>
                <w:rFonts w:ascii="Akaya Telivigala" w:hAnsi="Akaya Telivigala" w:cs="Akaya Telivigala"/>
                <w:b/>
                <w:bCs/>
                <w:kern w:val="2"/>
                <w14:ligatures w14:val="standardContextual"/>
              </w:rPr>
              <w:t>2025</w:t>
            </w:r>
          </w:p>
        </w:tc>
      </w:tr>
    </w:tbl>
    <w:p w14:paraId="594D0E10" w14:textId="77777777" w:rsidR="009831CA" w:rsidRPr="003A2817" w:rsidRDefault="00673A55" w:rsidP="008C10B2">
      <w:pPr>
        <w:jc w:val="center"/>
        <w:rPr>
          <w:rFonts w:ascii="Akaya Telivigala" w:hAnsi="Akaya Telivigala" w:cs="Akaya Telivigala"/>
          <w:b/>
          <w:bCs/>
          <w:sz w:val="72"/>
          <w:szCs w:val="72"/>
        </w:rPr>
      </w:pPr>
      <w:r w:rsidRPr="003A2817">
        <w:rPr>
          <w:rFonts w:ascii="Akaya Telivigala" w:hAnsi="Akaya Telivigala" w:cs="Akaya Telivigala"/>
          <w:b/>
          <w:bCs/>
          <w:sz w:val="72"/>
          <w:szCs w:val="72"/>
        </w:rPr>
        <w:t>Exclusion Policy</w:t>
      </w:r>
    </w:p>
    <w:p w14:paraId="7C2165AF" w14:textId="77777777" w:rsidR="009831CA" w:rsidRDefault="009831CA">
      <w:pPr>
        <w:rPr>
          <w:rFonts w:ascii="Akaya Telivigala" w:hAnsi="Akaya Telivigala" w:cs="Akaya Telivigala"/>
        </w:rPr>
      </w:pPr>
    </w:p>
    <w:p w14:paraId="003FF222" w14:textId="77777777" w:rsidR="00F43839" w:rsidRPr="003A2817" w:rsidRDefault="00F43839">
      <w:pPr>
        <w:suppressAutoHyphens w:val="0"/>
        <w:rPr>
          <w:rFonts w:ascii="Akaya Telivigala" w:hAnsi="Akaya Telivigala" w:cs="Akaya Telivigala"/>
          <w:sz w:val="72"/>
          <w:szCs w:val="72"/>
        </w:rPr>
      </w:pPr>
      <w:r w:rsidRPr="003A2817">
        <w:rPr>
          <w:rFonts w:ascii="Akaya Telivigala" w:hAnsi="Akaya Telivigala" w:cs="Akaya Telivigala"/>
          <w:sz w:val="72"/>
          <w:szCs w:val="72"/>
        </w:rPr>
        <w:br w:type="page"/>
      </w:r>
    </w:p>
    <w:p w14:paraId="2C85F370" w14:textId="77777777" w:rsidR="00C86639" w:rsidRPr="00FF37E4" w:rsidRDefault="00C86639">
      <w:pPr>
        <w:rPr>
          <w:rFonts w:ascii="Arial" w:hAnsi="Arial" w:cs="Arial"/>
        </w:rPr>
      </w:pPr>
    </w:p>
    <w:p w14:paraId="1547D096" w14:textId="1DFBBB7C" w:rsidR="00673A55" w:rsidRPr="00FF37E4" w:rsidRDefault="00673A55">
      <w:pPr>
        <w:rPr>
          <w:rFonts w:ascii="Arial" w:hAnsi="Arial" w:cs="Arial"/>
        </w:rPr>
      </w:pPr>
      <w:r w:rsidRPr="00FF37E4">
        <w:rPr>
          <w:rFonts w:ascii="Arial" w:hAnsi="Arial" w:cs="Arial"/>
        </w:rPr>
        <w:t>Higher Farm Education, as an independent special</w:t>
      </w:r>
      <w:r w:rsidR="00FF37E4">
        <w:rPr>
          <w:rFonts w:ascii="Arial" w:hAnsi="Arial" w:cs="Arial"/>
        </w:rPr>
        <w:t>ist</w:t>
      </w:r>
      <w:r w:rsidRPr="00FF37E4">
        <w:rPr>
          <w:rFonts w:ascii="Arial" w:hAnsi="Arial" w:cs="Arial"/>
        </w:rPr>
        <w:t xml:space="preserve"> provision</w:t>
      </w:r>
      <w:r w:rsidR="001005D9">
        <w:rPr>
          <w:rFonts w:ascii="Arial" w:hAnsi="Arial" w:cs="Arial"/>
        </w:rPr>
        <w:t xml:space="preserve"> (Not Ofsted Registered as of January 2025)</w:t>
      </w:r>
      <w:r w:rsidRPr="00FF37E4">
        <w:rPr>
          <w:rFonts w:ascii="Arial" w:hAnsi="Arial" w:cs="Arial"/>
        </w:rPr>
        <w:t>, will no</w:t>
      </w:r>
      <w:r w:rsidR="00B073AE">
        <w:rPr>
          <w:rFonts w:ascii="Arial" w:hAnsi="Arial" w:cs="Arial"/>
        </w:rPr>
        <w:t xml:space="preserve">t remove the place of learners </w:t>
      </w:r>
      <w:r w:rsidRPr="00FF37E4">
        <w:rPr>
          <w:rFonts w:ascii="Arial" w:hAnsi="Arial" w:cs="Arial"/>
        </w:rPr>
        <w:t xml:space="preserve">who attend our provision, except in cases of violence against a member of staff or another learner or we cannot keep them safe; or we receive new information that means a </w:t>
      </w:r>
      <w:r w:rsidR="00662056">
        <w:rPr>
          <w:rFonts w:ascii="Arial" w:hAnsi="Arial" w:cs="Arial"/>
        </w:rPr>
        <w:t xml:space="preserve">learner </w:t>
      </w:r>
      <w:r w:rsidRPr="00FF37E4">
        <w:rPr>
          <w:rFonts w:ascii="Arial" w:hAnsi="Arial" w:cs="Arial"/>
        </w:rPr>
        <w:t>does not meet the designation outlined for our provision.</w:t>
      </w:r>
      <w:r w:rsidR="00B073AE">
        <w:rPr>
          <w:rFonts w:ascii="Arial" w:hAnsi="Arial" w:cs="Arial"/>
        </w:rPr>
        <w:t xml:space="preserve"> Additionally, the place may be at risk if despite </w:t>
      </w:r>
      <w:r w:rsidR="00F00403">
        <w:rPr>
          <w:rFonts w:ascii="Arial" w:hAnsi="Arial" w:cs="Arial"/>
        </w:rPr>
        <w:t xml:space="preserve">staff’s best efforts, the learner will not engage in the practical nor academic </w:t>
      </w:r>
      <w:r w:rsidR="00E9422B">
        <w:rPr>
          <w:rFonts w:ascii="Arial" w:hAnsi="Arial" w:cs="Arial"/>
        </w:rPr>
        <w:t xml:space="preserve">elements of the educational side of the provision. If a placement has to cease, this will not be a surprise as Higher Farm Education will have engaged with parents/carers, Local Authority designated </w:t>
      </w:r>
      <w:r w:rsidR="00867D8C">
        <w:rPr>
          <w:rFonts w:ascii="Arial" w:hAnsi="Arial" w:cs="Arial"/>
        </w:rPr>
        <w:t>officers and other professional teams attached to the learner</w:t>
      </w:r>
      <w:r w:rsidR="008D31C7">
        <w:rPr>
          <w:rFonts w:ascii="Arial" w:hAnsi="Arial" w:cs="Arial"/>
        </w:rPr>
        <w:t>, over a period of time and targets set to improve the situation.</w:t>
      </w:r>
    </w:p>
    <w:p w14:paraId="41B29C99" w14:textId="770412D1" w:rsidR="009831CA" w:rsidRPr="00F16A32" w:rsidRDefault="00673A55">
      <w:pPr>
        <w:rPr>
          <w:rFonts w:ascii="Arial" w:hAnsi="Arial" w:cs="Arial"/>
          <w:b/>
          <w:bCs/>
        </w:rPr>
      </w:pPr>
      <w:r w:rsidRPr="00FF37E4">
        <w:rPr>
          <w:rFonts w:ascii="Arial" w:hAnsi="Arial" w:cs="Arial"/>
        </w:rPr>
        <w:t xml:space="preserve">The </w:t>
      </w:r>
      <w:r w:rsidR="00F16A32">
        <w:rPr>
          <w:rFonts w:ascii="Arial" w:hAnsi="Arial" w:cs="Arial"/>
        </w:rPr>
        <w:t>placement</w:t>
      </w:r>
      <w:r w:rsidRPr="00FF37E4">
        <w:rPr>
          <w:rFonts w:ascii="Arial" w:hAnsi="Arial" w:cs="Arial"/>
        </w:rPr>
        <w:t xml:space="preserve"> that is set up </w:t>
      </w:r>
      <w:r w:rsidR="00F16A32">
        <w:rPr>
          <w:rFonts w:ascii="Arial" w:hAnsi="Arial" w:cs="Arial"/>
        </w:rPr>
        <w:t>through</w:t>
      </w:r>
      <w:r w:rsidRPr="00FF37E4">
        <w:rPr>
          <w:rFonts w:ascii="Arial" w:hAnsi="Arial" w:cs="Arial"/>
        </w:rPr>
        <w:t xml:space="preserve"> the LA and/or parents at Higher Farm Education will outline the provision on offer and the cost associated with this. </w:t>
      </w:r>
      <w:r w:rsidRPr="00F16A32">
        <w:rPr>
          <w:rFonts w:ascii="Arial" w:hAnsi="Arial" w:cs="Arial"/>
          <w:b/>
          <w:bCs/>
        </w:rPr>
        <w:t xml:space="preserve">Both parties will be able to terminate the initial agreement within the first 6 weeks if the placement is believed to be unsuccessful. </w:t>
      </w:r>
    </w:p>
    <w:p w14:paraId="7C2E6B40" w14:textId="77777777" w:rsidR="009831CA" w:rsidRPr="002A3F7D" w:rsidRDefault="00673A55">
      <w:pPr>
        <w:rPr>
          <w:rFonts w:ascii="Arial" w:hAnsi="Arial" w:cs="Arial"/>
          <w:b/>
          <w:bCs/>
          <w:color w:val="275317" w:themeColor="accent6" w:themeShade="80"/>
          <w:u w:val="single"/>
        </w:rPr>
      </w:pPr>
      <w:r w:rsidRPr="002A3F7D">
        <w:rPr>
          <w:rFonts w:ascii="Arial" w:hAnsi="Arial" w:cs="Arial"/>
          <w:b/>
          <w:bCs/>
          <w:color w:val="275317" w:themeColor="accent6" w:themeShade="80"/>
          <w:u w:val="single"/>
        </w:rPr>
        <w:t>An unsuccessful placement</w:t>
      </w:r>
    </w:p>
    <w:p w14:paraId="1BD57601" w14:textId="267F4268" w:rsidR="009831CA" w:rsidRPr="00FF37E4" w:rsidRDefault="00673A55">
      <w:pPr>
        <w:rPr>
          <w:rFonts w:ascii="Arial" w:hAnsi="Arial" w:cs="Arial"/>
        </w:rPr>
      </w:pPr>
      <w:r w:rsidRPr="00FF37E4">
        <w:rPr>
          <w:rFonts w:ascii="Arial" w:hAnsi="Arial" w:cs="Arial"/>
        </w:rPr>
        <w:t xml:space="preserve">An unsuccessful placement will mean that a </w:t>
      </w:r>
      <w:r w:rsidR="002A3F7D">
        <w:rPr>
          <w:rFonts w:ascii="Arial" w:hAnsi="Arial" w:cs="Arial"/>
        </w:rPr>
        <w:t>learner</w:t>
      </w:r>
      <w:r w:rsidRPr="00FF37E4">
        <w:rPr>
          <w:rFonts w:ascii="Arial" w:hAnsi="Arial" w:cs="Arial"/>
        </w:rPr>
        <w:t xml:space="preserve"> is not making progress in their attendance in provision. </w:t>
      </w:r>
      <w:r w:rsidR="008E461F">
        <w:rPr>
          <w:rFonts w:ascii="Arial" w:hAnsi="Arial" w:cs="Arial"/>
        </w:rPr>
        <w:t xml:space="preserve">Despite the best efforts of the provision staff to remove barriers, the learner’s attendance </w:t>
      </w:r>
      <w:r w:rsidR="009B796C">
        <w:rPr>
          <w:rFonts w:ascii="Arial" w:hAnsi="Arial" w:cs="Arial"/>
        </w:rPr>
        <w:t xml:space="preserve">does not improve. </w:t>
      </w:r>
      <w:r w:rsidRPr="00FF37E4">
        <w:rPr>
          <w:rFonts w:ascii="Arial" w:hAnsi="Arial" w:cs="Arial"/>
        </w:rPr>
        <w:t xml:space="preserve">Their anxiety remains unmanageable. They are displaying extreme behaviours which result in </w:t>
      </w:r>
      <w:r>
        <w:rPr>
          <w:rFonts w:ascii="Arial" w:hAnsi="Arial" w:cs="Arial"/>
        </w:rPr>
        <w:t xml:space="preserve">risks to </w:t>
      </w:r>
      <w:r w:rsidRPr="00FF37E4">
        <w:rPr>
          <w:rFonts w:ascii="Arial" w:hAnsi="Arial" w:cs="Arial"/>
        </w:rPr>
        <w:t>their own safety and the safety of others, with no sign of these incidents decreasing.</w:t>
      </w:r>
    </w:p>
    <w:p w14:paraId="671CD2A9" w14:textId="3C2F82F4" w:rsidR="009831CA" w:rsidRPr="00FF37E4" w:rsidRDefault="00673A55">
      <w:pPr>
        <w:rPr>
          <w:rFonts w:ascii="Arial" w:hAnsi="Arial" w:cs="Arial"/>
        </w:rPr>
      </w:pPr>
      <w:r w:rsidRPr="00FF37E4">
        <w:rPr>
          <w:rFonts w:ascii="Arial" w:hAnsi="Arial" w:cs="Arial"/>
        </w:rPr>
        <w:t xml:space="preserve">We will work hard with the LA and/or parents to mitigate as many of the factors that may be contributing to an unsuccessful placement as possible; but ultimately may serve a 6 week notice period and place the </w:t>
      </w:r>
      <w:r w:rsidR="009B796C">
        <w:rPr>
          <w:rFonts w:ascii="Arial" w:hAnsi="Arial" w:cs="Arial"/>
        </w:rPr>
        <w:t>learner</w:t>
      </w:r>
      <w:r w:rsidRPr="00FF37E4">
        <w:rPr>
          <w:rFonts w:ascii="Arial" w:hAnsi="Arial" w:cs="Arial"/>
        </w:rPr>
        <w:t xml:space="preserve"> on a reduced timetable during this period. </w:t>
      </w:r>
    </w:p>
    <w:p w14:paraId="57CA967A" w14:textId="6D5B7815" w:rsidR="009831CA" w:rsidRPr="00FF37E4" w:rsidRDefault="00673A55">
      <w:pPr>
        <w:rPr>
          <w:rFonts w:ascii="Arial" w:hAnsi="Arial" w:cs="Arial"/>
        </w:rPr>
      </w:pPr>
      <w:r w:rsidRPr="00FF37E4">
        <w:rPr>
          <w:rFonts w:ascii="Arial" w:hAnsi="Arial" w:cs="Arial"/>
        </w:rPr>
        <w:t xml:space="preserve">An unsuccessful placement will be indicative that our provision is not able to provide the correct provision for the </w:t>
      </w:r>
      <w:r w:rsidR="009B796C">
        <w:rPr>
          <w:rFonts w:ascii="Arial" w:hAnsi="Arial" w:cs="Arial"/>
        </w:rPr>
        <w:t>learner’s needs</w:t>
      </w:r>
      <w:r w:rsidRPr="00FF37E4">
        <w:rPr>
          <w:rFonts w:ascii="Arial" w:hAnsi="Arial" w:cs="Arial"/>
        </w:rPr>
        <w:t xml:space="preserve"> and Higher Farm Education will complete its best endeavours to support a transition to another placement. </w:t>
      </w:r>
    </w:p>
    <w:p w14:paraId="11FBB48B" w14:textId="65B0FAFF" w:rsidR="009831CA" w:rsidRPr="00FF37E4" w:rsidRDefault="00673A55">
      <w:pPr>
        <w:rPr>
          <w:rFonts w:ascii="Arial" w:hAnsi="Arial" w:cs="Arial"/>
        </w:rPr>
      </w:pPr>
      <w:r w:rsidRPr="00FF37E4">
        <w:rPr>
          <w:rFonts w:ascii="Arial" w:hAnsi="Arial" w:cs="Arial"/>
        </w:rPr>
        <w:t>As an independent special</w:t>
      </w:r>
      <w:r w:rsidR="006C591C">
        <w:rPr>
          <w:rFonts w:ascii="Arial" w:hAnsi="Arial" w:cs="Arial"/>
        </w:rPr>
        <w:t>ist</w:t>
      </w:r>
      <w:r w:rsidRPr="00FF37E4">
        <w:rPr>
          <w:rFonts w:ascii="Arial" w:hAnsi="Arial" w:cs="Arial"/>
        </w:rPr>
        <w:t xml:space="preserve"> provision there will be no right of appeal against decisions made by the H</w:t>
      </w:r>
      <w:r w:rsidR="006C591C">
        <w:rPr>
          <w:rFonts w:ascii="Arial" w:hAnsi="Arial" w:cs="Arial"/>
        </w:rPr>
        <w:t>eadteacher/Education Lead and SENCO.</w:t>
      </w:r>
    </w:p>
    <w:p w14:paraId="0049F365" w14:textId="77777777" w:rsidR="009831CA" w:rsidRPr="00FF37E4" w:rsidRDefault="00673A55">
      <w:pPr>
        <w:rPr>
          <w:rFonts w:ascii="Arial" w:hAnsi="Arial" w:cs="Arial"/>
        </w:rPr>
      </w:pPr>
      <w:r w:rsidRPr="00FF37E4">
        <w:rPr>
          <w:rFonts w:ascii="Arial" w:hAnsi="Arial" w:cs="Arial"/>
        </w:rPr>
        <w:t xml:space="preserve"> </w:t>
      </w:r>
    </w:p>
    <w:p w14:paraId="300B1454" w14:textId="77777777" w:rsidR="009831CA" w:rsidRPr="00FF37E4" w:rsidRDefault="00673A55">
      <w:pPr>
        <w:rPr>
          <w:rFonts w:ascii="Arial" w:hAnsi="Arial" w:cs="Arial"/>
        </w:rPr>
      </w:pPr>
      <w:r w:rsidRPr="00FF37E4">
        <w:rPr>
          <w:rFonts w:ascii="Arial" w:hAnsi="Arial" w:cs="Arial"/>
        </w:rPr>
        <w:t xml:space="preserve"> </w:t>
      </w:r>
    </w:p>
    <w:p w14:paraId="34179B8E" w14:textId="77777777" w:rsidR="009831CA" w:rsidRDefault="009831CA">
      <w:pPr>
        <w:rPr>
          <w:rFonts w:ascii="Arial" w:hAnsi="Arial" w:cs="Arial"/>
        </w:rPr>
      </w:pPr>
    </w:p>
    <w:p w14:paraId="0DE18A5E" w14:textId="77777777" w:rsidR="00FF37E4" w:rsidRPr="00FF37E4" w:rsidRDefault="00FF37E4" w:rsidP="00FF37E4">
      <w:pPr>
        <w:rPr>
          <w:rFonts w:ascii="Arial" w:hAnsi="Arial" w:cs="Arial"/>
        </w:rPr>
      </w:pPr>
    </w:p>
    <w:p w14:paraId="4E2899BA" w14:textId="77777777" w:rsidR="00FF37E4" w:rsidRPr="00FF37E4" w:rsidRDefault="00FF37E4" w:rsidP="00FF37E4">
      <w:pPr>
        <w:rPr>
          <w:rFonts w:ascii="Arial" w:hAnsi="Arial" w:cs="Arial"/>
        </w:rPr>
      </w:pPr>
    </w:p>
    <w:p w14:paraId="6B042E8F" w14:textId="5199F4D5" w:rsidR="00FF37E4" w:rsidRPr="00FF37E4" w:rsidRDefault="00FF37E4" w:rsidP="00FF37E4">
      <w:pPr>
        <w:tabs>
          <w:tab w:val="left" w:pos="6228"/>
        </w:tabs>
        <w:rPr>
          <w:rFonts w:ascii="Arial" w:hAnsi="Arial" w:cs="Arial"/>
        </w:rPr>
      </w:pPr>
    </w:p>
    <w:sectPr w:rsidR="00FF37E4" w:rsidRPr="00FF37E4" w:rsidSect="003A2817">
      <w:footerReference w:type="default" r:id="rId7"/>
      <w:pgSz w:w="11906" w:h="16838"/>
      <w:pgMar w:top="1440" w:right="1440" w:bottom="1440" w:left="1440" w:header="720" w:footer="720" w:gutter="0"/>
      <w:pgBorders w:offsetFrom="page">
        <w:top w:val="single" w:sz="24" w:space="24" w:color="275317" w:themeColor="accent6" w:themeShade="80"/>
        <w:left w:val="single" w:sz="24" w:space="24" w:color="275317" w:themeColor="accent6" w:themeShade="80"/>
        <w:bottom w:val="single" w:sz="24" w:space="24" w:color="275317" w:themeColor="accent6" w:themeShade="80"/>
        <w:right w:val="single" w:sz="24" w:space="24" w:color="275317" w:themeColor="accent6" w:themeShade="80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CEEFD" w14:textId="77777777" w:rsidR="00F03472" w:rsidRDefault="00F03472">
      <w:pPr>
        <w:spacing w:after="0" w:line="240" w:lineRule="auto"/>
      </w:pPr>
      <w:r>
        <w:separator/>
      </w:r>
    </w:p>
  </w:endnote>
  <w:endnote w:type="continuationSeparator" w:id="0">
    <w:p w14:paraId="711C6234" w14:textId="77777777" w:rsidR="00F03472" w:rsidRDefault="00F0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kaya Telivigala">
    <w:altName w:val="Microsoft New Tai Lue"/>
    <w:charset w:val="00"/>
    <w:family w:val="auto"/>
    <w:pitch w:val="variable"/>
    <w:sig w:usb0="A02000EF" w:usb1="4000204B" w:usb2="00000000" w:usb3="00000000" w:csb0="00000093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D030E" w14:textId="77777777" w:rsidR="003A2817" w:rsidRPr="00EC76AF" w:rsidRDefault="003A2817" w:rsidP="003A2817">
    <w:pPr>
      <w:tabs>
        <w:tab w:val="left" w:pos="4104"/>
        <w:tab w:val="center" w:pos="4513"/>
        <w:tab w:val="right" w:pos="9026"/>
      </w:tabs>
      <w:suppressAutoHyphens w:val="0"/>
      <w:autoSpaceDN/>
      <w:spacing w:after="0" w:line="240" w:lineRule="auto"/>
      <w:jc w:val="center"/>
      <w:rPr>
        <w:rFonts w:ascii="Akaya Telivigala" w:eastAsia="Calibri" w:hAnsi="Akaya Telivigala" w:cs="Akaya Telivigala"/>
        <w:caps/>
        <w:noProof/>
        <w:color w:val="385623"/>
        <w:kern w:val="0"/>
        <w:sz w:val="22"/>
        <w:szCs w:val="22"/>
      </w:rPr>
    </w:pPr>
    <w:r w:rsidRPr="00EC76AF">
      <w:rPr>
        <w:rFonts w:ascii="Akaya Telivigala" w:eastAsia="Calibri" w:hAnsi="Akaya Telivigala" w:cs="Akaya Telivigala"/>
        <w:caps/>
        <w:color w:val="385623"/>
        <w:kern w:val="0"/>
        <w:sz w:val="22"/>
        <w:szCs w:val="22"/>
      </w:rPr>
      <w:fldChar w:fldCharType="begin"/>
    </w:r>
    <w:r w:rsidRPr="00EC76AF">
      <w:rPr>
        <w:rFonts w:ascii="Akaya Telivigala" w:eastAsia="Calibri" w:hAnsi="Akaya Telivigala" w:cs="Akaya Telivigala"/>
        <w:caps/>
        <w:color w:val="385623"/>
        <w:kern w:val="0"/>
        <w:sz w:val="22"/>
        <w:szCs w:val="22"/>
      </w:rPr>
      <w:instrText xml:space="preserve"> PAGE   \* MERGEFORMAT </w:instrText>
    </w:r>
    <w:r w:rsidRPr="00EC76AF">
      <w:rPr>
        <w:rFonts w:ascii="Akaya Telivigala" w:eastAsia="Calibri" w:hAnsi="Akaya Telivigala" w:cs="Akaya Telivigala"/>
        <w:caps/>
        <w:color w:val="385623"/>
        <w:kern w:val="0"/>
        <w:sz w:val="22"/>
        <w:szCs w:val="22"/>
      </w:rPr>
      <w:fldChar w:fldCharType="separate"/>
    </w:r>
    <w:r>
      <w:rPr>
        <w:rFonts w:ascii="Akaya Telivigala" w:eastAsia="Calibri" w:hAnsi="Akaya Telivigala" w:cs="Akaya Telivigala"/>
        <w:caps/>
        <w:color w:val="385623"/>
        <w:kern w:val="0"/>
        <w:sz w:val="22"/>
        <w:szCs w:val="22"/>
      </w:rPr>
      <w:t>3</w:t>
    </w:r>
    <w:r w:rsidRPr="00EC76AF">
      <w:rPr>
        <w:rFonts w:ascii="Akaya Telivigala" w:eastAsia="Calibri" w:hAnsi="Akaya Telivigala" w:cs="Akaya Telivigala"/>
        <w:caps/>
        <w:noProof/>
        <w:color w:val="385623"/>
        <w:kern w:val="0"/>
        <w:sz w:val="22"/>
        <w:szCs w:val="22"/>
      </w:rPr>
      <w:fldChar w:fldCharType="end"/>
    </w:r>
  </w:p>
  <w:p w14:paraId="737B790A" w14:textId="77777777" w:rsidR="003A2817" w:rsidRDefault="003A2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1CE07" w14:textId="77777777" w:rsidR="00F03472" w:rsidRDefault="00F0347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DA69C8" w14:textId="77777777" w:rsidR="00F03472" w:rsidRDefault="00F034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1CA"/>
    <w:rsid w:val="001005D9"/>
    <w:rsid w:val="00102DE2"/>
    <w:rsid w:val="002A3F7D"/>
    <w:rsid w:val="003A2817"/>
    <w:rsid w:val="0055192A"/>
    <w:rsid w:val="005754F9"/>
    <w:rsid w:val="00643546"/>
    <w:rsid w:val="00662056"/>
    <w:rsid w:val="00673A55"/>
    <w:rsid w:val="006C591C"/>
    <w:rsid w:val="008012C3"/>
    <w:rsid w:val="0082516B"/>
    <w:rsid w:val="00867D8C"/>
    <w:rsid w:val="00874532"/>
    <w:rsid w:val="008C10B2"/>
    <w:rsid w:val="008D31C7"/>
    <w:rsid w:val="008E461F"/>
    <w:rsid w:val="009831CA"/>
    <w:rsid w:val="009B796C"/>
    <w:rsid w:val="00AD1FAF"/>
    <w:rsid w:val="00B073AE"/>
    <w:rsid w:val="00C86639"/>
    <w:rsid w:val="00E9422B"/>
    <w:rsid w:val="00F00403"/>
    <w:rsid w:val="00F03472"/>
    <w:rsid w:val="00F16A32"/>
    <w:rsid w:val="00F43839"/>
    <w:rsid w:val="00FF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70DB0"/>
  <w15:docId w15:val="{3C4DF913-6171-4DF6-A421-FAAC5F01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A2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817"/>
  </w:style>
  <w:style w:type="paragraph" w:styleId="Footer">
    <w:name w:val="footer"/>
    <w:basedOn w:val="Normal"/>
    <w:link w:val="FooterChar"/>
    <w:uiPriority w:val="99"/>
    <w:unhideWhenUsed/>
    <w:rsid w:val="003A2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Nicci Hague</dc:creator>
  <dc:description/>
  <cp:lastModifiedBy>Rob Stevenson</cp:lastModifiedBy>
  <cp:revision>17</cp:revision>
  <dcterms:created xsi:type="dcterms:W3CDTF">2025-01-18T16:00:00Z</dcterms:created>
  <dcterms:modified xsi:type="dcterms:W3CDTF">2025-01-18T16:18:00Z</dcterms:modified>
</cp:coreProperties>
</file>