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94FA" w14:textId="0AB99E7A" w:rsidR="000F174F" w:rsidRDefault="00AF2699" w:rsidP="0098482E">
      <w:pPr>
        <w:spacing w:after="0"/>
        <w:jc w:val="center"/>
        <w:rPr>
          <w:rFonts w:ascii="Akaya Telivigala" w:hAnsi="Akaya Telivigala" w:cs="Akaya Telivigala"/>
          <w:color w:val="47D459"/>
          <w:sz w:val="52"/>
          <w:szCs w:val="52"/>
        </w:rPr>
      </w:pPr>
      <w:r w:rsidRPr="009E5AA5">
        <w:rPr>
          <w:rFonts w:ascii="Akaya Telivigala" w:hAnsi="Akaya Telivigala" w:cs="Akaya Telivigala"/>
          <w:b/>
          <w:bCs/>
          <w:noProof/>
          <w:sz w:val="72"/>
          <w:szCs w:val="72"/>
        </w:rPr>
        <w:drawing>
          <wp:inline distT="0" distB="0" distL="0" distR="0" wp14:anchorId="0E0161B9" wp14:editId="660EC0E9">
            <wp:extent cx="5486400" cy="2194317"/>
            <wp:effectExtent l="0" t="0" r="0" b="0"/>
            <wp:docPr id="1944067557" name="Picture 3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7557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2F12" w14:textId="77777777" w:rsidR="000F174F" w:rsidRDefault="000F174F" w:rsidP="0098482E">
      <w:pPr>
        <w:spacing w:after="0"/>
        <w:jc w:val="center"/>
        <w:rPr>
          <w:rFonts w:ascii="Akaya Telivigala" w:hAnsi="Akaya Telivigala" w:cs="Akaya Telivigala"/>
          <w:color w:val="47D459"/>
          <w:sz w:val="52"/>
          <w:szCs w:val="52"/>
        </w:rPr>
      </w:pPr>
    </w:p>
    <w:p w14:paraId="265E6EFF" w14:textId="77777777" w:rsidR="000F174F" w:rsidRDefault="000F174F" w:rsidP="00AF2699">
      <w:pPr>
        <w:spacing w:after="0"/>
        <w:rPr>
          <w:rFonts w:ascii="Akaya Telivigala" w:hAnsi="Akaya Telivigala" w:cs="Akaya Telivigala"/>
          <w:color w:val="47D459"/>
          <w:sz w:val="52"/>
          <w:szCs w:val="52"/>
        </w:rPr>
      </w:pPr>
    </w:p>
    <w:p w14:paraId="29218A47" w14:textId="72A9A29D" w:rsidR="000F174F" w:rsidRPr="000F174F" w:rsidRDefault="000F174F" w:rsidP="000F174F">
      <w:pPr>
        <w:pStyle w:val="3Policytitle"/>
        <w:jc w:val="center"/>
        <w:rPr>
          <w:rFonts w:ascii="Akaya Telivigala" w:hAnsi="Akaya Telivigala" w:cs="Akaya Telivigala"/>
          <w:color w:val="275317" w:themeColor="accent6" w:themeShade="80"/>
          <w:szCs w:val="72"/>
        </w:rPr>
      </w:pPr>
      <w:r w:rsidRPr="000F174F">
        <w:rPr>
          <w:rFonts w:ascii="Akaya Telivigala" w:hAnsi="Akaya Telivigala" w:cs="Akaya Telivigala"/>
          <w:color w:val="275317" w:themeColor="accent6" w:themeShade="80"/>
          <w:szCs w:val="72"/>
        </w:rPr>
        <w:t>Accessibility plan</w:t>
      </w:r>
    </w:p>
    <w:p w14:paraId="58B5F050" w14:textId="77777777" w:rsidR="000F174F" w:rsidRDefault="000F174F" w:rsidP="00AF2699">
      <w:pPr>
        <w:spacing w:after="0"/>
        <w:rPr>
          <w:rFonts w:ascii="Akaya Telivigala" w:hAnsi="Akaya Telivigala" w:cs="Akaya Telivigala"/>
          <w:color w:val="47D459"/>
          <w:sz w:val="52"/>
          <w:szCs w:val="52"/>
        </w:rPr>
      </w:pPr>
    </w:p>
    <w:p w14:paraId="2BC08091" w14:textId="77777777" w:rsidR="000F174F" w:rsidRDefault="000F174F" w:rsidP="0098482E">
      <w:pPr>
        <w:spacing w:after="0"/>
        <w:jc w:val="center"/>
        <w:rPr>
          <w:rFonts w:ascii="Akaya Telivigala" w:hAnsi="Akaya Telivigala" w:cs="Akaya Telivigala"/>
          <w:color w:val="47D459"/>
          <w:sz w:val="52"/>
          <w:szCs w:val="52"/>
        </w:rPr>
      </w:pPr>
    </w:p>
    <w:p w14:paraId="0E30A174" w14:textId="77777777" w:rsidR="000F174F" w:rsidRDefault="000F174F" w:rsidP="0098482E">
      <w:pPr>
        <w:spacing w:after="0"/>
        <w:jc w:val="center"/>
        <w:rPr>
          <w:rFonts w:ascii="Akaya Telivigala" w:hAnsi="Akaya Telivigala" w:cs="Akaya Telivigala"/>
          <w:color w:val="47D459"/>
          <w:sz w:val="52"/>
          <w:szCs w:val="52"/>
        </w:rPr>
      </w:pPr>
    </w:p>
    <w:tbl>
      <w:tblPr>
        <w:tblpPr w:leftFromText="180" w:rightFromText="180" w:vertAnchor="text" w:horzAnchor="margin" w:tblpXSpec="center" w:tblpY="734"/>
        <w:tblW w:w="9720" w:type="dxa"/>
        <w:shd w:val="clear" w:color="auto" w:fill="5C8A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268"/>
        <w:gridCol w:w="3866"/>
      </w:tblGrid>
      <w:tr w:rsidR="000F174F" w:rsidRPr="000F174F" w14:paraId="3A0F6627" w14:textId="77777777" w:rsidTr="00CF0E92">
        <w:tc>
          <w:tcPr>
            <w:tcW w:w="258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7DFADA" w14:textId="77777777" w:rsidR="000F174F" w:rsidRPr="000F174F" w:rsidRDefault="000F174F" w:rsidP="000F174F">
            <w:pPr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Written by:</w:t>
            </w:r>
          </w:p>
        </w:tc>
        <w:tc>
          <w:tcPr>
            <w:tcW w:w="3268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0D649A" w14:textId="3CEBDC23" w:rsidR="000F174F" w:rsidRPr="000F174F" w:rsidRDefault="000F174F" w:rsidP="000F174F">
            <w:pPr>
              <w:ind w:right="850"/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      </w:t>
            </w:r>
            <w:r w:rsidR="00AF2699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Rob Stevenson</w:t>
            </w:r>
          </w:p>
        </w:tc>
        <w:tc>
          <w:tcPr>
            <w:tcW w:w="386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D90E88" w14:textId="63AA8766" w:rsidR="000F174F" w:rsidRPr="000F174F" w:rsidRDefault="000F174F" w:rsidP="000F174F">
            <w:pPr>
              <w:ind w:right="850"/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   Date:  </w:t>
            </w:r>
            <w:r w:rsidR="00AF2699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December </w:t>
            </w: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2024</w:t>
            </w:r>
          </w:p>
        </w:tc>
      </w:tr>
      <w:tr w:rsidR="000F174F" w:rsidRPr="000F174F" w14:paraId="4F984655" w14:textId="77777777" w:rsidTr="00CF0E92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CEABA0" w14:textId="77777777" w:rsidR="000F174F" w:rsidRPr="000F174F" w:rsidRDefault="000F174F" w:rsidP="000F174F">
            <w:pPr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9B0193" w14:textId="77777777" w:rsidR="000F174F" w:rsidRPr="000F174F" w:rsidRDefault="000F174F" w:rsidP="000F174F">
            <w:pPr>
              <w:ind w:right="850"/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      NEW</w:t>
            </w:r>
          </w:p>
        </w:tc>
      </w:tr>
      <w:tr w:rsidR="000F174F" w:rsidRPr="000F174F" w14:paraId="6E12B8B5" w14:textId="77777777" w:rsidTr="00CF0E92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CF143B" w14:textId="77777777" w:rsidR="000F174F" w:rsidRPr="000F174F" w:rsidRDefault="000F174F" w:rsidP="000F174F">
            <w:pPr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Approved by: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47DDBE" w14:textId="0C703EA6" w:rsidR="000F174F" w:rsidRPr="000F174F" w:rsidRDefault="00AF2699" w:rsidP="000F174F">
            <w:pPr>
              <w:ind w:right="850"/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Andrew Powell (Proprietor)</w:t>
            </w:r>
          </w:p>
        </w:tc>
      </w:tr>
      <w:tr w:rsidR="000F174F" w:rsidRPr="000F174F" w14:paraId="4F3D6CDA" w14:textId="77777777" w:rsidTr="00CF0E92">
        <w:tc>
          <w:tcPr>
            <w:tcW w:w="2586" w:type="dxa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44ED2A" w14:textId="77777777" w:rsidR="000F174F" w:rsidRPr="000F174F" w:rsidRDefault="000F174F" w:rsidP="000F174F">
            <w:pPr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4B565F" w14:textId="7A575509" w:rsidR="000F174F" w:rsidRPr="000F174F" w:rsidRDefault="000F174F" w:rsidP="000F174F">
            <w:pPr>
              <w:ind w:right="850"/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</w:pP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     </w:t>
            </w:r>
            <w:r w:rsidR="00AF2699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>December</w:t>
            </w:r>
            <w:r w:rsidRPr="000F174F">
              <w:rPr>
                <w:rFonts w:ascii="Akaya Telivigala" w:eastAsia="Aptos" w:hAnsi="Akaya Telivigala" w:cs="Akaya Telivigala"/>
                <w:b/>
                <w:bCs/>
                <w:kern w:val="2"/>
                <w:sz w:val="24"/>
                <w:lang w:val="en-GB"/>
                <w14:ligatures w14:val="standardContextual"/>
              </w:rPr>
              <w:t xml:space="preserve"> 2025</w:t>
            </w:r>
          </w:p>
        </w:tc>
      </w:tr>
    </w:tbl>
    <w:p w14:paraId="3305085C" w14:textId="631E7F92" w:rsidR="00AF2699" w:rsidRDefault="000F59C7" w:rsidP="00B71ECF">
      <w:pPr>
        <w:spacing w:after="0"/>
        <w:rPr>
          <w:rFonts w:ascii="Akaya Telivigala" w:hAnsi="Akaya Telivigala" w:cs="Akaya Telivigala"/>
          <w:color w:val="47D459"/>
          <w:sz w:val="52"/>
          <w:szCs w:val="52"/>
        </w:rPr>
      </w:pPr>
      <w:r>
        <w:rPr>
          <w:rFonts w:ascii="Akaya Telivigala" w:hAnsi="Akaya Telivigala" w:cs="Akaya Telivigala"/>
          <w:color w:val="47D459"/>
          <w:sz w:val="52"/>
          <w:szCs w:val="52"/>
        </w:rPr>
        <w:br w:type="page"/>
      </w:r>
      <w:bookmarkStart w:id="0" w:name="_Toc58247234"/>
    </w:p>
    <w:p w14:paraId="7AD87173" w14:textId="7888C2E1" w:rsidR="00D317BA" w:rsidRPr="00AF2699" w:rsidRDefault="00D317BA" w:rsidP="002D2478">
      <w:pPr>
        <w:spacing w:after="0"/>
        <w:rPr>
          <w:rFonts w:cs="Arial"/>
          <w:b/>
          <w:bCs/>
          <w:color w:val="275317" w:themeColor="accent6" w:themeShade="80"/>
          <w:sz w:val="24"/>
        </w:rPr>
      </w:pPr>
      <w:r w:rsidRPr="00AF2699">
        <w:rPr>
          <w:rFonts w:cs="Arial"/>
          <w:b/>
          <w:bCs/>
          <w:color w:val="275317" w:themeColor="accent6" w:themeShade="80"/>
          <w:sz w:val="24"/>
        </w:rPr>
        <w:lastRenderedPageBreak/>
        <w:t>Aims</w:t>
      </w:r>
      <w:bookmarkEnd w:id="0"/>
    </w:p>
    <w:p w14:paraId="59D7BDE5" w14:textId="77777777" w:rsidR="00B71ECF" w:rsidRPr="00AF2699" w:rsidRDefault="00B71ECF" w:rsidP="002D2478">
      <w:pPr>
        <w:spacing w:after="0"/>
        <w:rPr>
          <w:rFonts w:cs="Arial"/>
          <w:color w:val="47D459"/>
          <w:sz w:val="24"/>
        </w:rPr>
      </w:pPr>
    </w:p>
    <w:p w14:paraId="5C8539C5" w14:textId="77777777" w:rsidR="00D317BA" w:rsidRPr="00AF2699" w:rsidRDefault="00D317BA" w:rsidP="002D2478">
      <w:pPr>
        <w:pStyle w:val="1bodycopy10pt"/>
        <w:rPr>
          <w:rFonts w:cs="Arial"/>
          <w:color w:val="ED7D31"/>
          <w:sz w:val="24"/>
        </w:rPr>
      </w:pPr>
      <w:r w:rsidRPr="00AF2699">
        <w:rPr>
          <w:rFonts w:cs="Arial"/>
          <w:sz w:val="24"/>
        </w:rPr>
        <w:t>Provisions are required under the Equality Act 2010 to have an accessibility plan. The purpose of the plan is to:</w:t>
      </w:r>
    </w:p>
    <w:p w14:paraId="7E06111B" w14:textId="77777777" w:rsidR="00D317BA" w:rsidRPr="00AF2699" w:rsidRDefault="00D317BA" w:rsidP="002D2478">
      <w:pPr>
        <w:pStyle w:val="4Bulletedcopyblue"/>
        <w:rPr>
          <w:sz w:val="24"/>
          <w:szCs w:val="24"/>
          <w:lang w:eastAsia="en-GB"/>
        </w:rPr>
      </w:pPr>
      <w:r w:rsidRPr="00AF2699">
        <w:rPr>
          <w:sz w:val="24"/>
          <w:szCs w:val="24"/>
        </w:rPr>
        <w:t xml:space="preserve"> Increase the extent to which learners with disabilities can participate in the curriculum</w:t>
      </w:r>
    </w:p>
    <w:p w14:paraId="49CB3125" w14:textId="77777777" w:rsidR="00D317BA" w:rsidRPr="00AF2699" w:rsidRDefault="00D317BA" w:rsidP="002D2478">
      <w:pPr>
        <w:pStyle w:val="4Bulletedcopyblue"/>
        <w:rPr>
          <w:sz w:val="24"/>
          <w:szCs w:val="24"/>
          <w:lang w:eastAsia="en-GB"/>
        </w:rPr>
      </w:pPr>
      <w:r w:rsidRPr="00AF2699">
        <w:rPr>
          <w:sz w:val="24"/>
          <w:szCs w:val="24"/>
        </w:rPr>
        <w:t xml:space="preserve"> Improve the physical environment of the provision to enable learners with disabilities to take better advantage of education, benefits, facilities and services provided</w:t>
      </w:r>
    </w:p>
    <w:p w14:paraId="1329277E" w14:textId="77777777" w:rsidR="00D317BA" w:rsidRPr="00AF2699" w:rsidRDefault="00D317BA" w:rsidP="002D2478">
      <w:pPr>
        <w:pStyle w:val="4Bulletedcopyblue"/>
        <w:rPr>
          <w:sz w:val="24"/>
          <w:szCs w:val="24"/>
          <w:lang w:eastAsia="en-GB"/>
        </w:rPr>
      </w:pPr>
      <w:r w:rsidRPr="00AF2699">
        <w:rPr>
          <w:sz w:val="24"/>
          <w:szCs w:val="24"/>
        </w:rPr>
        <w:t xml:space="preserve"> Improve the availability of accessible information to learners with disabilities</w:t>
      </w:r>
    </w:p>
    <w:p w14:paraId="2CDCD874" w14:textId="77777777" w:rsidR="00D317BA" w:rsidRPr="00AF2699" w:rsidRDefault="00D317BA" w:rsidP="002D2478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>Our provision aims to treat all its learners fairly and with respect. This involves providing access and opportunities for all learners without discrimination of any kind.</w:t>
      </w:r>
    </w:p>
    <w:p w14:paraId="7BFE9684" w14:textId="14B706E6" w:rsidR="00AF2699" w:rsidRPr="00AF2699" w:rsidRDefault="00C1294A" w:rsidP="00AF2699">
      <w:pPr>
        <w:pStyle w:val="1bodycopy10pt"/>
        <w:spacing w:after="0"/>
        <w:rPr>
          <w:rFonts w:cs="Arial"/>
          <w:sz w:val="24"/>
          <w:lang w:val="en-GB"/>
        </w:rPr>
      </w:pPr>
      <w:r w:rsidRPr="00AF2699">
        <w:rPr>
          <w:rFonts w:cs="Arial"/>
          <w:sz w:val="24"/>
        </w:rPr>
        <w:t>At Higher Farm Education our mission state</w:t>
      </w:r>
      <w:r w:rsidR="00AF2699">
        <w:rPr>
          <w:rFonts w:cs="Arial"/>
          <w:sz w:val="24"/>
        </w:rPr>
        <w:t xml:space="preserve">ment </w:t>
      </w:r>
      <w:r w:rsidR="00AF2699" w:rsidRPr="00AF2699">
        <w:rPr>
          <w:rFonts w:cs="Arial"/>
          <w:sz w:val="24"/>
        </w:rPr>
        <w:t xml:space="preserve">is </w:t>
      </w:r>
      <w:r w:rsidR="00AF2699" w:rsidRPr="00AF2699">
        <w:rPr>
          <w:rFonts w:cs="Arial"/>
          <w:sz w:val="24"/>
          <w:lang w:val="en-GB"/>
        </w:rPr>
        <w:t>to re-engage young people with SEND back into Education and provide them with a pathway to employability through bespoke practical learning experiences.</w:t>
      </w:r>
      <w:r w:rsidR="00AF2699">
        <w:rPr>
          <w:rFonts w:cs="Arial"/>
          <w:sz w:val="24"/>
          <w:lang w:val="en-GB"/>
        </w:rPr>
        <w:t xml:space="preserve"> </w:t>
      </w:r>
      <w:r w:rsidR="00AF2699" w:rsidRPr="00AF2699">
        <w:rPr>
          <w:rFonts w:cs="Arial"/>
          <w:sz w:val="24"/>
          <w:lang w:val="en-GB"/>
        </w:rPr>
        <w:t xml:space="preserve">Our unique setting provides the foundation to nurture </w:t>
      </w:r>
    </w:p>
    <w:p w14:paraId="0E52D296" w14:textId="4C906638" w:rsidR="00AF2699" w:rsidRPr="00AF2699" w:rsidRDefault="00AF2699" w:rsidP="00AF2699">
      <w:pPr>
        <w:pStyle w:val="1bodycopy10pt"/>
        <w:spacing w:after="0"/>
        <w:rPr>
          <w:rFonts w:cs="Arial"/>
          <w:sz w:val="24"/>
          <w:lang w:val="en-GB"/>
        </w:rPr>
      </w:pPr>
      <w:r w:rsidRPr="00AF2699">
        <w:rPr>
          <w:rFonts w:cs="Arial"/>
          <w:sz w:val="24"/>
          <w:lang w:val="en-GB"/>
        </w:rPr>
        <w:t xml:space="preserve">well-being, build trust and develop independence; to be successful in life.  </w:t>
      </w:r>
    </w:p>
    <w:p w14:paraId="2F689F27" w14:textId="1A658E26" w:rsidR="00C1294A" w:rsidRPr="00AF2699" w:rsidRDefault="00C1294A" w:rsidP="00E25502">
      <w:pPr>
        <w:pStyle w:val="1bodycopy10pt"/>
        <w:spacing w:after="0"/>
        <w:rPr>
          <w:rFonts w:cs="Arial"/>
          <w:sz w:val="24"/>
        </w:rPr>
      </w:pPr>
      <w:r w:rsidRPr="00AF2699">
        <w:rPr>
          <w:rFonts w:cs="Arial"/>
          <w:sz w:val="24"/>
        </w:rPr>
        <w:t xml:space="preserve"> </w:t>
      </w:r>
    </w:p>
    <w:p w14:paraId="5BAE59CF" w14:textId="77777777" w:rsidR="00D317BA" w:rsidRPr="00AF2699" w:rsidRDefault="00D317BA" w:rsidP="002D2478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>The plan will be made available online on the provision website, and paper copies are available upon request.</w:t>
      </w:r>
    </w:p>
    <w:p w14:paraId="4AB82E58" w14:textId="77777777" w:rsidR="00D317BA" w:rsidRPr="00AF2699" w:rsidRDefault="00D317BA" w:rsidP="002D2478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>Our provision is also committed to ensuring staff are trained in equality issues with reference to the Equality Act 2010, including understanding disability issues.</w:t>
      </w:r>
    </w:p>
    <w:p w14:paraId="16D6BF23" w14:textId="77777777" w:rsidR="00D317BA" w:rsidRPr="00AF2699" w:rsidRDefault="00D317BA" w:rsidP="002D2478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>The provision supports any available partnerships to develop and implement the plan.</w:t>
      </w:r>
    </w:p>
    <w:p w14:paraId="476F5B09" w14:textId="77777777" w:rsidR="00D317BA" w:rsidRPr="00AF2699" w:rsidRDefault="00D317BA" w:rsidP="00A01A1D">
      <w:pPr>
        <w:pStyle w:val="1bodycopy10pt"/>
        <w:spacing w:after="0"/>
        <w:rPr>
          <w:rFonts w:cs="Arial"/>
          <w:sz w:val="24"/>
        </w:rPr>
      </w:pPr>
      <w:r w:rsidRPr="00AF2699">
        <w:rPr>
          <w:rFonts w:cs="Arial"/>
          <w:sz w:val="24"/>
        </w:rPr>
        <w:t>Our provision’s complaints procedure covers the accessibility plan. If you have any concerns relating to accessibility in provision, the complaints procedure sets out the process for raising these concerns.</w:t>
      </w:r>
    </w:p>
    <w:p w14:paraId="16044063" w14:textId="77777777" w:rsidR="00C1294A" w:rsidRPr="00AF2699" w:rsidRDefault="00C1294A" w:rsidP="00A01A1D">
      <w:pPr>
        <w:pStyle w:val="Heading1"/>
        <w:spacing w:before="0" w:after="0"/>
        <w:rPr>
          <w:sz w:val="24"/>
          <w:szCs w:val="24"/>
        </w:rPr>
      </w:pPr>
      <w:bookmarkStart w:id="1" w:name="_Toc58247235"/>
    </w:p>
    <w:p w14:paraId="3C26E0D2" w14:textId="77777777" w:rsidR="00D317BA" w:rsidRPr="00AF2699" w:rsidRDefault="00D317BA" w:rsidP="00A01A1D">
      <w:pPr>
        <w:pStyle w:val="Heading1"/>
        <w:spacing w:before="0" w:after="0"/>
        <w:rPr>
          <w:color w:val="275317" w:themeColor="accent6" w:themeShade="80"/>
          <w:sz w:val="24"/>
          <w:szCs w:val="24"/>
          <w:u w:val="single"/>
        </w:rPr>
      </w:pPr>
      <w:r w:rsidRPr="00AF2699">
        <w:rPr>
          <w:color w:val="275317" w:themeColor="accent6" w:themeShade="80"/>
          <w:sz w:val="24"/>
          <w:szCs w:val="24"/>
          <w:u w:val="single"/>
        </w:rPr>
        <w:t>Legislation and guidance</w:t>
      </w:r>
      <w:bookmarkEnd w:id="1"/>
    </w:p>
    <w:p w14:paraId="544F9199" w14:textId="77777777" w:rsidR="00A01A1D" w:rsidRPr="00AF2699" w:rsidRDefault="00A01A1D" w:rsidP="00A01A1D">
      <w:pPr>
        <w:pStyle w:val="6Abstract"/>
        <w:spacing w:after="0"/>
        <w:rPr>
          <w:rFonts w:cs="Arial"/>
          <w:sz w:val="24"/>
          <w:szCs w:val="24"/>
          <w:lang w:val="en-GB"/>
        </w:rPr>
      </w:pPr>
    </w:p>
    <w:p w14:paraId="3A8B9D60" w14:textId="22C6906E" w:rsidR="00D317BA" w:rsidRPr="00AF2699" w:rsidRDefault="00D317BA" w:rsidP="00A01A1D">
      <w:pPr>
        <w:pStyle w:val="1bodycopy10pt"/>
        <w:spacing w:after="0"/>
        <w:rPr>
          <w:rFonts w:cs="Arial"/>
          <w:sz w:val="24"/>
          <w:shd w:val="clear" w:color="auto" w:fill="FFFFFF"/>
        </w:rPr>
      </w:pPr>
      <w:r w:rsidRPr="00AF2699">
        <w:rPr>
          <w:rFonts w:cs="Arial"/>
          <w:sz w:val="24"/>
          <w:shd w:val="clear" w:color="auto" w:fill="FFFFFF"/>
        </w:rPr>
        <w:t xml:space="preserve">This document meets the requirements of </w:t>
      </w:r>
      <w:hyperlink r:id="rId9" w:history="1">
        <w:r w:rsidRPr="00AF2699">
          <w:rPr>
            <w:rStyle w:val="Hyperlink"/>
            <w:rFonts w:cs="Arial"/>
            <w:sz w:val="24"/>
            <w:shd w:val="clear" w:color="auto" w:fill="FFFFFF"/>
          </w:rPr>
          <w:t>schedule 10 of the Equality Act 2010</w:t>
        </w:r>
      </w:hyperlink>
      <w:r w:rsidRPr="00AF2699">
        <w:rPr>
          <w:rFonts w:cs="Arial"/>
          <w:sz w:val="24"/>
          <w:shd w:val="clear" w:color="auto" w:fill="FFFFFF"/>
        </w:rPr>
        <w:t xml:space="preserve"> and the Department for Education (DfE) </w:t>
      </w:r>
      <w:hyperlink r:id="rId10" w:history="1">
        <w:r w:rsidRPr="00AF2699">
          <w:rPr>
            <w:rStyle w:val="Hyperlink"/>
            <w:rFonts w:cs="Arial"/>
            <w:sz w:val="24"/>
            <w:shd w:val="clear" w:color="auto" w:fill="FFFFFF"/>
          </w:rPr>
          <w:t xml:space="preserve">guidance for </w:t>
        </w:r>
        <w:r w:rsidR="00AF2699">
          <w:rPr>
            <w:rStyle w:val="Hyperlink"/>
            <w:rFonts w:cs="Arial"/>
            <w:sz w:val="24"/>
            <w:shd w:val="clear" w:color="auto" w:fill="FFFFFF"/>
          </w:rPr>
          <w:t>provision</w:t>
        </w:r>
        <w:r w:rsidRPr="00AF2699">
          <w:rPr>
            <w:rStyle w:val="Hyperlink"/>
            <w:rFonts w:cs="Arial"/>
            <w:sz w:val="24"/>
            <w:shd w:val="clear" w:color="auto" w:fill="FFFFFF"/>
          </w:rPr>
          <w:t>s on the Equality Act 2010</w:t>
        </w:r>
      </w:hyperlink>
      <w:r w:rsidRPr="00AF2699">
        <w:rPr>
          <w:rFonts w:cs="Arial"/>
          <w:sz w:val="24"/>
          <w:shd w:val="clear" w:color="auto" w:fill="FFFFFF"/>
        </w:rPr>
        <w:t>.</w:t>
      </w:r>
    </w:p>
    <w:p w14:paraId="1921317C" w14:textId="77777777" w:rsidR="00D317BA" w:rsidRPr="00AF2699" w:rsidRDefault="00D317BA" w:rsidP="00E25146">
      <w:pPr>
        <w:pStyle w:val="1bodycopy10pt"/>
        <w:rPr>
          <w:rFonts w:cs="Arial"/>
          <w:sz w:val="24"/>
          <w:shd w:val="clear" w:color="auto" w:fill="FFFFFF"/>
        </w:rPr>
      </w:pPr>
      <w:r w:rsidRPr="00AF2699">
        <w:rPr>
          <w:rFonts w:cs="Arial"/>
          <w:sz w:val="24"/>
          <w:shd w:val="clear" w:color="auto" w:fill="FFFFFF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29743212" w14:textId="77777777" w:rsidR="00D317BA" w:rsidRPr="00AF2699" w:rsidRDefault="00D317BA" w:rsidP="00E25146">
      <w:pPr>
        <w:pStyle w:val="1bodycopy10pt"/>
        <w:rPr>
          <w:rFonts w:cs="Arial"/>
          <w:sz w:val="24"/>
          <w:shd w:val="clear" w:color="auto" w:fill="FFFFFF"/>
        </w:rPr>
      </w:pPr>
      <w:r w:rsidRPr="00AF2699">
        <w:rPr>
          <w:rFonts w:cs="Arial"/>
          <w:sz w:val="24"/>
          <w:shd w:val="clear" w:color="auto" w:fill="FFFFFF"/>
        </w:rPr>
        <w:t xml:space="preserve">Under the </w:t>
      </w:r>
      <w:hyperlink r:id="rId11" w:history="1">
        <w:r w:rsidRPr="00AF2699">
          <w:rPr>
            <w:rStyle w:val="Hyperlink"/>
            <w:rFonts w:cs="Arial"/>
            <w:sz w:val="24"/>
            <w:shd w:val="clear" w:color="auto" w:fill="FFFFFF"/>
          </w:rPr>
          <w:t>Special Educational Needs and Disability (SEND) Code of Practice</w:t>
        </w:r>
      </w:hyperlink>
      <w:r w:rsidRPr="00AF2699">
        <w:rPr>
          <w:rFonts w:cs="Arial"/>
          <w:sz w:val="24"/>
          <w:shd w:val="clear" w:color="auto" w:fill="FFFFFF"/>
        </w:rPr>
        <w:t>, ‘long-term’ is defined as ‘a year or more’ and ‘substantial’ is defined as ‘more than minor or trivial’. The definition includes sensory impairments</w:t>
      </w:r>
      <w:r w:rsidR="00F40B4D" w:rsidRPr="00AF2699">
        <w:rPr>
          <w:rFonts w:cs="Arial"/>
          <w:sz w:val="24"/>
          <w:shd w:val="clear" w:color="auto" w:fill="FFFFFF"/>
        </w:rPr>
        <w:t>,</w:t>
      </w:r>
      <w:r w:rsidRPr="00AF2699">
        <w:rPr>
          <w:rFonts w:cs="Arial"/>
          <w:sz w:val="24"/>
          <w:shd w:val="clear" w:color="auto" w:fill="FFFFFF"/>
        </w:rPr>
        <w:t xml:space="preserve"> such as those affecting sight or hearing, and long-term health conditions such as asthma, diabetes, epilepsy and cancer.</w:t>
      </w:r>
    </w:p>
    <w:p w14:paraId="69B1B613" w14:textId="77777777" w:rsidR="00D317BA" w:rsidRPr="00AF2699" w:rsidRDefault="00D317BA" w:rsidP="00E25146">
      <w:pPr>
        <w:pStyle w:val="1bodycopy10pt"/>
        <w:rPr>
          <w:rFonts w:cs="Arial"/>
          <w:sz w:val="24"/>
          <w:shd w:val="clear" w:color="auto" w:fill="FFFFFF"/>
        </w:rPr>
      </w:pPr>
      <w:r w:rsidRPr="00AF2699">
        <w:rPr>
          <w:rFonts w:cs="Arial"/>
          <w:sz w:val="24"/>
        </w:rPr>
        <w:t xml:space="preserve">Provisions are required to make ‘reasonable adjustments’ for learners with disabilities under the Equality Act 2010, to alleviate any substantial disadvantage that a learner with disabilities faces in comparison with a learner without disabilities. This can include, for example, the provision of </w:t>
      </w:r>
      <w:proofErr w:type="gramStart"/>
      <w:r w:rsidRPr="00AF2699">
        <w:rPr>
          <w:rFonts w:cs="Arial"/>
          <w:sz w:val="24"/>
        </w:rPr>
        <w:t>an auxiliary</w:t>
      </w:r>
      <w:proofErr w:type="gramEnd"/>
      <w:r w:rsidRPr="00AF2699">
        <w:rPr>
          <w:rFonts w:cs="Arial"/>
          <w:sz w:val="24"/>
        </w:rPr>
        <w:t xml:space="preserve"> aid or adjustments to premises.</w:t>
      </w:r>
    </w:p>
    <w:p w14:paraId="61A2F96D" w14:textId="77777777" w:rsidR="00D317BA" w:rsidRPr="00AF2699" w:rsidRDefault="00D317BA" w:rsidP="00D317BA">
      <w:pPr>
        <w:rPr>
          <w:rFonts w:cs="Arial"/>
          <w:sz w:val="24"/>
        </w:rPr>
        <w:sectPr w:rsidR="00D317BA" w:rsidRPr="00AF2699" w:rsidSect="002308B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 w:code="9"/>
          <w:pgMar w:top="992" w:right="1077" w:bottom="1701" w:left="1077" w:header="567" w:footer="227" w:gutter="0"/>
          <w:pgBorders w:offsetFrom="page">
            <w:top w:val="single" w:sz="24" w:space="24" w:color="275317" w:themeColor="accent6" w:themeShade="80"/>
            <w:left w:val="single" w:sz="24" w:space="24" w:color="275317" w:themeColor="accent6" w:themeShade="80"/>
            <w:bottom w:val="single" w:sz="24" w:space="24" w:color="275317" w:themeColor="accent6" w:themeShade="80"/>
            <w:right w:val="single" w:sz="24" w:space="24" w:color="275317" w:themeColor="accent6" w:themeShade="80"/>
          </w:pgBorders>
          <w:cols w:space="708"/>
          <w:titlePg/>
          <w:docGrid w:linePitch="360"/>
        </w:sectPr>
      </w:pPr>
    </w:p>
    <w:p w14:paraId="0DE352B0" w14:textId="6800F273" w:rsidR="00D317BA" w:rsidRPr="00AF2699" w:rsidRDefault="00D317BA" w:rsidP="00AF2699">
      <w:pPr>
        <w:pStyle w:val="Heading1"/>
        <w:rPr>
          <w:color w:val="3A7C22" w:themeColor="accent6" w:themeShade="BF"/>
          <w:sz w:val="24"/>
          <w:szCs w:val="24"/>
          <w:u w:val="single"/>
        </w:rPr>
      </w:pPr>
      <w:bookmarkStart w:id="2" w:name="_Toc58247236"/>
      <w:r w:rsidRPr="00AF2699">
        <w:rPr>
          <w:color w:val="275317" w:themeColor="accent6" w:themeShade="80"/>
          <w:sz w:val="24"/>
          <w:szCs w:val="24"/>
          <w:u w:val="single"/>
        </w:rPr>
        <w:lastRenderedPageBreak/>
        <w:t xml:space="preserve">Action </w:t>
      </w:r>
      <w:proofErr w:type="gramStart"/>
      <w:r w:rsidRPr="00AF2699">
        <w:rPr>
          <w:color w:val="275317" w:themeColor="accent6" w:themeShade="80"/>
          <w:sz w:val="24"/>
          <w:szCs w:val="24"/>
          <w:u w:val="single"/>
        </w:rPr>
        <w:t>plan</w:t>
      </w:r>
      <w:bookmarkEnd w:id="2"/>
      <w:r w:rsidR="00AF2699">
        <w:rPr>
          <w:color w:val="275317" w:themeColor="accent6" w:themeShade="80"/>
          <w:sz w:val="24"/>
          <w:szCs w:val="24"/>
          <w:u w:val="single"/>
        </w:rPr>
        <w:t xml:space="preserve"> :</w:t>
      </w:r>
      <w:r w:rsidRPr="00AF2699">
        <w:rPr>
          <w:color w:val="3A7C22" w:themeColor="accent6" w:themeShade="BF"/>
          <w:sz w:val="24"/>
          <w:szCs w:val="24"/>
        </w:rPr>
        <w:t>This</w:t>
      </w:r>
      <w:proofErr w:type="gramEnd"/>
      <w:r w:rsidRPr="00AF2699">
        <w:rPr>
          <w:color w:val="3A7C22" w:themeColor="accent6" w:themeShade="BF"/>
          <w:sz w:val="24"/>
          <w:szCs w:val="24"/>
        </w:rPr>
        <w:t xml:space="preserve"> action plan sets out the aims of our accessibility plan in accordance with the Equality Act 2010.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8"/>
        <w:gridCol w:w="2879"/>
        <w:gridCol w:w="1993"/>
        <w:gridCol w:w="2133"/>
        <w:gridCol w:w="1910"/>
        <w:gridCol w:w="1537"/>
        <w:gridCol w:w="1789"/>
      </w:tblGrid>
      <w:tr w:rsidR="00AF2699" w:rsidRPr="00AF2699" w14:paraId="3EBF8796" w14:textId="77777777">
        <w:trPr>
          <w:cantSplit/>
          <w:tblHeader/>
        </w:trPr>
        <w:tc>
          <w:tcPr>
            <w:tcW w:w="18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4E7DD69" w14:textId="77777777" w:rsidR="00D317BA" w:rsidRPr="00AF2699" w:rsidRDefault="00D317BA">
            <w:pPr>
              <w:pStyle w:val="1bodycopy10pt"/>
              <w:spacing w:after="0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aim</w:t>
            </w:r>
          </w:p>
        </w:tc>
        <w:tc>
          <w:tcPr>
            <w:tcW w:w="297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E25FD2E" w14:textId="77777777" w:rsidR="00D317BA" w:rsidRPr="00AF2699" w:rsidRDefault="00D317BA">
            <w:pPr>
              <w:pStyle w:val="1bodycopy10pt"/>
              <w:spacing w:after="0"/>
              <w:jc w:val="both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current good practice</w:t>
            </w:r>
          </w:p>
          <w:p w14:paraId="026EA71B" w14:textId="77777777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Include established practice, and practice under development</w:t>
            </w:r>
          </w:p>
        </w:tc>
        <w:tc>
          <w:tcPr>
            <w:tcW w:w="20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A0D5EAB" w14:textId="77777777" w:rsidR="00D317BA" w:rsidRPr="00AF2699" w:rsidRDefault="00D317BA">
            <w:pPr>
              <w:pStyle w:val="1bodycopy10pt"/>
              <w:spacing w:after="0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objectives</w:t>
            </w:r>
          </w:p>
          <w:p w14:paraId="1DF5B83E" w14:textId="77777777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State short, medium and long-term objectives</w:t>
            </w:r>
          </w:p>
        </w:tc>
        <w:tc>
          <w:tcPr>
            <w:tcW w:w="221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76A9DF23" w14:textId="77777777" w:rsidR="00D317BA" w:rsidRPr="00AF2699" w:rsidRDefault="00D317BA">
            <w:pPr>
              <w:pStyle w:val="1bodycopy10pt"/>
              <w:spacing w:after="0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actions to be taken</w:t>
            </w:r>
          </w:p>
        </w:tc>
        <w:tc>
          <w:tcPr>
            <w:tcW w:w="18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DE23FE4" w14:textId="77777777" w:rsidR="00D317BA" w:rsidRPr="00AF2699" w:rsidRDefault="00D317BA">
            <w:pPr>
              <w:pStyle w:val="1bodycopy10pt"/>
              <w:spacing w:after="0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Person responsible</w:t>
            </w:r>
          </w:p>
        </w:tc>
        <w:tc>
          <w:tcPr>
            <w:tcW w:w="14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BBA098A" w14:textId="77777777" w:rsidR="00D317BA" w:rsidRPr="00AF2699" w:rsidRDefault="00D317BA">
            <w:pPr>
              <w:pStyle w:val="1bodycopy10pt"/>
              <w:spacing w:after="0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date to complete actions by</w:t>
            </w:r>
          </w:p>
        </w:tc>
        <w:tc>
          <w:tcPr>
            <w:tcW w:w="185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B0CA26A" w14:textId="77777777" w:rsidR="00D317BA" w:rsidRPr="00AF2699" w:rsidRDefault="00D317BA">
            <w:pPr>
              <w:pStyle w:val="1bodycopy10pt"/>
              <w:spacing w:after="0"/>
              <w:rPr>
                <w:rFonts w:cs="Arial"/>
                <w:caps/>
                <w:sz w:val="24"/>
              </w:rPr>
            </w:pPr>
            <w:r w:rsidRPr="00AF2699">
              <w:rPr>
                <w:rFonts w:cs="Arial"/>
                <w:caps/>
                <w:sz w:val="24"/>
              </w:rPr>
              <w:t>success criteria</w:t>
            </w:r>
          </w:p>
        </w:tc>
      </w:tr>
      <w:tr w:rsidR="00D317BA" w:rsidRPr="00AF2699" w14:paraId="7CAB2AB1" w14:textId="77777777">
        <w:trPr>
          <w:cantSplit/>
        </w:trPr>
        <w:tc>
          <w:tcPr>
            <w:tcW w:w="1843" w:type="dxa"/>
            <w:shd w:val="clear" w:color="auto" w:fill="auto"/>
          </w:tcPr>
          <w:p w14:paraId="54C15F7B" w14:textId="0D6AAAA4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Increase access to the </w:t>
            </w:r>
            <w:r w:rsidR="00AF2699">
              <w:rPr>
                <w:rFonts w:cs="Arial"/>
                <w:sz w:val="24"/>
              </w:rPr>
              <w:t xml:space="preserve">provision’s </w:t>
            </w:r>
            <w:r w:rsidRPr="00AF2699">
              <w:rPr>
                <w:rFonts w:cs="Arial"/>
                <w:sz w:val="24"/>
              </w:rPr>
              <w:t xml:space="preserve">curriculum for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with a</w:t>
            </w:r>
            <w:r w:rsidR="007E521C" w:rsidRPr="00AF2699">
              <w:rPr>
                <w:rFonts w:cs="Arial"/>
                <w:sz w:val="24"/>
              </w:rPr>
              <w:t xml:space="preserve">dditional needs </w:t>
            </w:r>
          </w:p>
        </w:tc>
        <w:tc>
          <w:tcPr>
            <w:tcW w:w="2977" w:type="dxa"/>
            <w:shd w:val="clear" w:color="auto" w:fill="auto"/>
          </w:tcPr>
          <w:p w14:paraId="1978D14B" w14:textId="2540FFCD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Our </w:t>
            </w:r>
            <w:r w:rsidR="00AF2699">
              <w:rPr>
                <w:rFonts w:cs="Arial"/>
                <w:sz w:val="24"/>
              </w:rPr>
              <w:t>provision</w:t>
            </w:r>
            <w:r w:rsidRPr="00AF2699">
              <w:rPr>
                <w:rFonts w:cs="Arial"/>
                <w:sz w:val="24"/>
              </w:rPr>
              <w:t xml:space="preserve"> offers a differentiated curriculum for all </w:t>
            </w:r>
            <w:r w:rsidR="00AF2699">
              <w:rPr>
                <w:rFonts w:cs="Arial"/>
                <w:sz w:val="24"/>
              </w:rPr>
              <w:t>learners</w:t>
            </w:r>
          </w:p>
          <w:p w14:paraId="4B01FB65" w14:textId="6E0F594D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We use resources tailored to the needs of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who require support to access the curriculum</w:t>
            </w:r>
          </w:p>
          <w:p w14:paraId="261620AB" w14:textId="3CDF973C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Curriculum progress is tracked for all </w:t>
            </w:r>
            <w:r w:rsidR="00AF2699">
              <w:rPr>
                <w:rFonts w:cs="Arial"/>
                <w:sz w:val="24"/>
              </w:rPr>
              <w:t>learners</w:t>
            </w:r>
          </w:p>
          <w:p w14:paraId="39F004D5" w14:textId="34C522E2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Targets are set effectively and are appropriate for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with additional needs </w:t>
            </w:r>
          </w:p>
          <w:p w14:paraId="47F62882" w14:textId="3ECB1807" w:rsidR="00C1294A" w:rsidRPr="00AF2699" w:rsidRDefault="00C1294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The curriculum is reviewed to make sure it meets the needs of all </w:t>
            </w:r>
            <w:r w:rsidR="00AF2699">
              <w:rPr>
                <w:rFonts w:cs="Arial"/>
                <w:sz w:val="24"/>
              </w:rPr>
              <w:t>learners</w:t>
            </w:r>
          </w:p>
          <w:p w14:paraId="497CE7DB" w14:textId="77777777" w:rsidR="00D317BA" w:rsidRPr="00AF2699" w:rsidRDefault="00D317BA" w:rsidP="00C1294A">
            <w:pPr>
              <w:pStyle w:val="Tablecopybulleted"/>
              <w:numPr>
                <w:ilvl w:val="0"/>
                <w:numId w:val="0"/>
              </w:numPr>
              <w:ind w:left="340" w:hanging="170"/>
              <w:rPr>
                <w:rFonts w:cs="Arial"/>
                <w:sz w:val="24"/>
                <w:highlight w:val="yellow"/>
              </w:rPr>
            </w:pPr>
          </w:p>
        </w:tc>
        <w:tc>
          <w:tcPr>
            <w:tcW w:w="2035" w:type="dxa"/>
            <w:shd w:val="clear" w:color="auto" w:fill="auto"/>
          </w:tcPr>
          <w:p w14:paraId="57D79439" w14:textId="77777777" w:rsidR="007E521C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To ensure ongoing access to the curriculum for any pupil with a stated disability. </w:t>
            </w:r>
          </w:p>
          <w:p w14:paraId="045E3C7B" w14:textId="45A736EC" w:rsidR="007E521C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To ensure the </w:t>
            </w:r>
            <w:r w:rsidR="00AF2699">
              <w:rPr>
                <w:rFonts w:cs="Arial"/>
                <w:sz w:val="24"/>
              </w:rPr>
              <w:t>provision</w:t>
            </w:r>
            <w:r w:rsidRPr="00AF2699">
              <w:rPr>
                <w:rFonts w:cs="Arial"/>
                <w:sz w:val="24"/>
              </w:rPr>
              <w:t xml:space="preserve"> is accountable and frequently reflects on curriculum aspects that may impact accessibility, equality or inclusion.</w:t>
            </w:r>
          </w:p>
          <w:p w14:paraId="2E42F222" w14:textId="25F581B7" w:rsidR="00D317BA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 To identify any barriers to learning for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with accessibility risks and create a plan to mitigate these.</w:t>
            </w:r>
          </w:p>
        </w:tc>
        <w:tc>
          <w:tcPr>
            <w:tcW w:w="2217" w:type="dxa"/>
          </w:tcPr>
          <w:p w14:paraId="594FC5B6" w14:textId="77777777" w:rsidR="007E521C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Ongoing review of curriculum plans. </w:t>
            </w:r>
          </w:p>
          <w:p w14:paraId="6460BC45" w14:textId="77777777" w:rsidR="007E521C" w:rsidRPr="00AF2699" w:rsidRDefault="007E521C">
            <w:pPr>
              <w:pStyle w:val="1bodycopy10pt"/>
              <w:rPr>
                <w:rFonts w:cs="Arial"/>
                <w:sz w:val="24"/>
              </w:rPr>
            </w:pPr>
          </w:p>
          <w:p w14:paraId="6E238525" w14:textId="3C7D5C3C" w:rsidR="00D317BA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Individual planning for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with a disability e.g. possible risk assessment, liaison with agencies and possible EHCP and/or IHP</w:t>
            </w:r>
          </w:p>
        </w:tc>
        <w:tc>
          <w:tcPr>
            <w:tcW w:w="1843" w:type="dxa"/>
          </w:tcPr>
          <w:p w14:paraId="63B7D3BA" w14:textId="77777777" w:rsidR="00D317BA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Headteacher</w:t>
            </w:r>
          </w:p>
        </w:tc>
        <w:tc>
          <w:tcPr>
            <w:tcW w:w="1490" w:type="dxa"/>
          </w:tcPr>
          <w:p w14:paraId="1E426701" w14:textId="77777777" w:rsidR="00D317BA" w:rsidRPr="00AF2699" w:rsidRDefault="007E521C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Annual/ earlier if needed </w:t>
            </w:r>
          </w:p>
        </w:tc>
        <w:tc>
          <w:tcPr>
            <w:tcW w:w="1850" w:type="dxa"/>
          </w:tcPr>
          <w:p w14:paraId="7476626F" w14:textId="77777777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</w:p>
        </w:tc>
      </w:tr>
      <w:tr w:rsidR="00D317BA" w:rsidRPr="00AF2699" w14:paraId="3EBB6F09" w14:textId="77777777">
        <w:trPr>
          <w:cantSplit/>
        </w:trPr>
        <w:tc>
          <w:tcPr>
            <w:tcW w:w="1843" w:type="dxa"/>
            <w:shd w:val="clear" w:color="auto" w:fill="auto"/>
          </w:tcPr>
          <w:p w14:paraId="4D91B792" w14:textId="5D88CAB5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lastRenderedPageBreak/>
              <w:t xml:space="preserve">Improve the delivery of information to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with a disability</w:t>
            </w:r>
          </w:p>
        </w:tc>
        <w:tc>
          <w:tcPr>
            <w:tcW w:w="2977" w:type="dxa"/>
            <w:shd w:val="clear" w:color="auto" w:fill="auto"/>
          </w:tcPr>
          <w:p w14:paraId="6A3C2BD6" w14:textId="0E5D5815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Our </w:t>
            </w:r>
            <w:r w:rsidR="00AF2699">
              <w:rPr>
                <w:rFonts w:cs="Arial"/>
                <w:sz w:val="24"/>
              </w:rPr>
              <w:t>provision</w:t>
            </w:r>
            <w:r w:rsidRPr="00AF2699">
              <w:rPr>
                <w:rFonts w:cs="Arial"/>
                <w:sz w:val="24"/>
              </w:rPr>
              <w:t xml:space="preserve"> uses a range of communication methods to make sure information is accessible. This includes:</w:t>
            </w:r>
          </w:p>
          <w:p w14:paraId="216A9BBE" w14:textId="77777777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Internal signage</w:t>
            </w:r>
          </w:p>
          <w:p w14:paraId="11E58A30" w14:textId="77777777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Large print resources</w:t>
            </w:r>
          </w:p>
          <w:p w14:paraId="2DF315D3" w14:textId="77777777" w:rsidR="00C1294A" w:rsidRPr="00AF2699" w:rsidRDefault="00C1294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Books to support the visually impaired </w:t>
            </w:r>
          </w:p>
          <w:p w14:paraId="619916F1" w14:textId="77777777" w:rsidR="00D317BA" w:rsidRPr="00AF2699" w:rsidRDefault="00D317B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Pictorial or symbolic representations</w:t>
            </w:r>
          </w:p>
          <w:p w14:paraId="49120CD8" w14:textId="77777777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</w:p>
        </w:tc>
        <w:tc>
          <w:tcPr>
            <w:tcW w:w="2035" w:type="dxa"/>
            <w:shd w:val="clear" w:color="auto" w:fill="auto"/>
          </w:tcPr>
          <w:p w14:paraId="54838685" w14:textId="0CC87524" w:rsidR="00D317BA" w:rsidRPr="00AF2699" w:rsidRDefault="00CC6AAF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To ensure delivery of the curriculum for all </w:t>
            </w:r>
            <w:r w:rsidR="00AF2699">
              <w:rPr>
                <w:rFonts w:cs="Arial"/>
                <w:sz w:val="24"/>
              </w:rPr>
              <w:t>learners</w:t>
            </w:r>
            <w:r w:rsidRPr="00AF2699">
              <w:rPr>
                <w:rFonts w:cs="Arial"/>
                <w:sz w:val="24"/>
              </w:rPr>
              <w:t xml:space="preserve"> regardless of disability.</w:t>
            </w:r>
          </w:p>
        </w:tc>
        <w:tc>
          <w:tcPr>
            <w:tcW w:w="2217" w:type="dxa"/>
          </w:tcPr>
          <w:p w14:paraId="54CC842B" w14:textId="77777777" w:rsidR="00D317BA" w:rsidRPr="00AF2699" w:rsidRDefault="00CC6AAF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Should a pupil require additional reasonable adaptations to the delivery of the curriculum e.g. braille, this would be reviewed with the governing body and a plan made.</w:t>
            </w:r>
          </w:p>
          <w:p w14:paraId="44F73605" w14:textId="77777777" w:rsidR="009814F4" w:rsidRPr="00AF2699" w:rsidRDefault="009814F4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To purchase Braille resources if required </w:t>
            </w:r>
          </w:p>
          <w:p w14:paraId="5AE033D5" w14:textId="77777777" w:rsidR="009814F4" w:rsidRPr="00AF2699" w:rsidRDefault="009814F4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To create an induction loop if required </w:t>
            </w:r>
          </w:p>
        </w:tc>
        <w:tc>
          <w:tcPr>
            <w:tcW w:w="1843" w:type="dxa"/>
          </w:tcPr>
          <w:p w14:paraId="6631604C" w14:textId="77777777" w:rsidR="00D317BA" w:rsidRPr="00AF2699" w:rsidRDefault="00CC6AAF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 xml:space="preserve">Headteacher </w:t>
            </w:r>
          </w:p>
        </w:tc>
        <w:tc>
          <w:tcPr>
            <w:tcW w:w="1490" w:type="dxa"/>
          </w:tcPr>
          <w:p w14:paraId="0F482F5C" w14:textId="77777777" w:rsidR="00D317BA" w:rsidRPr="00AF2699" w:rsidRDefault="00CC6AAF">
            <w:pPr>
              <w:pStyle w:val="1bodycopy10pt"/>
              <w:rPr>
                <w:rFonts w:cs="Arial"/>
                <w:sz w:val="24"/>
              </w:rPr>
            </w:pPr>
            <w:r w:rsidRPr="00AF2699">
              <w:rPr>
                <w:rFonts w:cs="Arial"/>
                <w:sz w:val="24"/>
              </w:rPr>
              <w:t>When needed</w:t>
            </w:r>
          </w:p>
        </w:tc>
        <w:tc>
          <w:tcPr>
            <w:tcW w:w="1850" w:type="dxa"/>
          </w:tcPr>
          <w:p w14:paraId="5F4D978A" w14:textId="77777777" w:rsidR="00D317BA" w:rsidRPr="00AF2699" w:rsidRDefault="00D317BA">
            <w:pPr>
              <w:pStyle w:val="1bodycopy10pt"/>
              <w:rPr>
                <w:rFonts w:cs="Arial"/>
                <w:sz w:val="24"/>
              </w:rPr>
            </w:pPr>
          </w:p>
        </w:tc>
      </w:tr>
    </w:tbl>
    <w:p w14:paraId="379F874F" w14:textId="77777777" w:rsidR="00D317BA" w:rsidRPr="00AF2699" w:rsidRDefault="00D317BA" w:rsidP="00D317BA">
      <w:pPr>
        <w:rPr>
          <w:rFonts w:cs="Arial"/>
          <w:sz w:val="24"/>
        </w:rPr>
      </w:pPr>
    </w:p>
    <w:p w14:paraId="7E16AFC5" w14:textId="77777777" w:rsidR="00D317BA" w:rsidRPr="00AF2699" w:rsidRDefault="00D317BA" w:rsidP="00D317BA">
      <w:pPr>
        <w:rPr>
          <w:rFonts w:cs="Arial"/>
          <w:sz w:val="24"/>
        </w:rPr>
      </w:pPr>
    </w:p>
    <w:p w14:paraId="4762231C" w14:textId="77777777" w:rsidR="00D317BA" w:rsidRPr="00AF2699" w:rsidRDefault="00D317BA" w:rsidP="00D317BA">
      <w:pPr>
        <w:rPr>
          <w:rFonts w:cs="Arial"/>
          <w:sz w:val="24"/>
        </w:rPr>
      </w:pPr>
    </w:p>
    <w:p w14:paraId="1AE9BD78" w14:textId="77777777" w:rsidR="00D317BA" w:rsidRPr="00AF2699" w:rsidRDefault="00D317BA" w:rsidP="00D317BA">
      <w:pPr>
        <w:rPr>
          <w:rFonts w:cs="Arial"/>
          <w:sz w:val="24"/>
        </w:rPr>
      </w:pPr>
    </w:p>
    <w:p w14:paraId="14166556" w14:textId="77777777" w:rsidR="00D317BA" w:rsidRPr="00AF2699" w:rsidRDefault="00D317BA" w:rsidP="00D317BA">
      <w:pPr>
        <w:rPr>
          <w:rFonts w:cs="Arial"/>
          <w:sz w:val="24"/>
        </w:rPr>
      </w:pPr>
    </w:p>
    <w:p w14:paraId="3A3A4552" w14:textId="77777777" w:rsidR="00D317BA" w:rsidRPr="00AF2699" w:rsidRDefault="00D317BA" w:rsidP="00D317BA">
      <w:pPr>
        <w:rPr>
          <w:rFonts w:cs="Arial"/>
          <w:sz w:val="24"/>
        </w:rPr>
      </w:pPr>
    </w:p>
    <w:p w14:paraId="660477D7" w14:textId="77777777" w:rsidR="00D317BA" w:rsidRPr="00AF2699" w:rsidRDefault="00D317BA" w:rsidP="00D317BA">
      <w:pPr>
        <w:rPr>
          <w:rFonts w:cs="Arial"/>
          <w:sz w:val="24"/>
        </w:rPr>
        <w:sectPr w:rsidR="00D317BA" w:rsidRPr="00AF2699" w:rsidSect="00263F71">
          <w:pgSz w:w="16840" w:h="11900" w:orient="landscape" w:code="9"/>
          <w:pgMar w:top="1077" w:right="992" w:bottom="1077" w:left="1701" w:header="567" w:footer="227" w:gutter="0"/>
          <w:pgBorders w:offsetFrom="page">
            <w:top w:val="single" w:sz="24" w:space="24" w:color="275317" w:themeColor="accent6" w:themeShade="80"/>
            <w:left w:val="single" w:sz="24" w:space="24" w:color="275317" w:themeColor="accent6" w:themeShade="80"/>
            <w:bottom w:val="single" w:sz="24" w:space="24" w:color="275317" w:themeColor="accent6" w:themeShade="80"/>
            <w:right w:val="single" w:sz="24" w:space="24" w:color="275317" w:themeColor="accent6" w:themeShade="80"/>
          </w:pgBorders>
          <w:cols w:space="708"/>
          <w:titlePg/>
          <w:docGrid w:linePitch="360"/>
        </w:sectPr>
      </w:pPr>
    </w:p>
    <w:p w14:paraId="54765BB4" w14:textId="77777777" w:rsidR="00D317BA" w:rsidRPr="00AF2699" w:rsidRDefault="00D317BA" w:rsidP="00D317BA">
      <w:pPr>
        <w:pStyle w:val="Heading1"/>
        <w:rPr>
          <w:color w:val="275317" w:themeColor="accent6" w:themeShade="80"/>
          <w:sz w:val="24"/>
          <w:szCs w:val="24"/>
          <w:u w:val="single"/>
        </w:rPr>
      </w:pPr>
      <w:bookmarkStart w:id="3" w:name="_Toc58247237"/>
      <w:r w:rsidRPr="00AF2699">
        <w:rPr>
          <w:color w:val="275317" w:themeColor="accent6" w:themeShade="80"/>
          <w:sz w:val="24"/>
          <w:szCs w:val="24"/>
          <w:u w:val="single"/>
        </w:rPr>
        <w:lastRenderedPageBreak/>
        <w:t>Monitoring arrangements</w:t>
      </w:r>
      <w:bookmarkEnd w:id="3"/>
    </w:p>
    <w:p w14:paraId="5BA8F81B" w14:textId="1EF59EE0" w:rsidR="00D317BA" w:rsidRPr="00AF2699" w:rsidRDefault="00D317BA" w:rsidP="00D317BA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 xml:space="preserve">This document will be reviewed every 3 years but may be reviewed and updated more frequently if necessary. It will be reviewed by the </w:t>
      </w:r>
      <w:r w:rsidR="00AF2699">
        <w:rPr>
          <w:rFonts w:cs="Arial"/>
          <w:sz w:val="24"/>
        </w:rPr>
        <w:t xml:space="preserve">Proprietors </w:t>
      </w:r>
      <w:r w:rsidRPr="00AF2699">
        <w:rPr>
          <w:rFonts w:cs="Arial"/>
          <w:sz w:val="24"/>
        </w:rPr>
        <w:t xml:space="preserve">or the </w:t>
      </w:r>
      <w:r w:rsidR="00AF2699">
        <w:rPr>
          <w:rFonts w:cs="Arial"/>
          <w:sz w:val="24"/>
        </w:rPr>
        <w:t>Headteacher</w:t>
      </w:r>
    </w:p>
    <w:p w14:paraId="7C431D57" w14:textId="57449D33" w:rsidR="00D317BA" w:rsidRPr="00AF2699" w:rsidRDefault="00D317BA" w:rsidP="00D317BA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 xml:space="preserve">It will be approved by the </w:t>
      </w:r>
      <w:r w:rsidR="00AF2699">
        <w:rPr>
          <w:rFonts w:cs="Arial"/>
          <w:sz w:val="24"/>
        </w:rPr>
        <w:t>Proprietors</w:t>
      </w:r>
    </w:p>
    <w:p w14:paraId="35C98446" w14:textId="77777777" w:rsidR="00D317BA" w:rsidRPr="00AF2699" w:rsidRDefault="00D317BA" w:rsidP="00D317BA">
      <w:pPr>
        <w:pStyle w:val="1bodycopy10pt"/>
        <w:rPr>
          <w:rFonts w:cs="Arial"/>
          <w:sz w:val="24"/>
        </w:rPr>
      </w:pPr>
    </w:p>
    <w:p w14:paraId="0EE43A0A" w14:textId="77777777" w:rsidR="00D317BA" w:rsidRPr="00AF2699" w:rsidRDefault="00D317BA" w:rsidP="00D317BA">
      <w:pPr>
        <w:pStyle w:val="Heading1"/>
        <w:rPr>
          <w:color w:val="275317" w:themeColor="accent6" w:themeShade="80"/>
          <w:sz w:val="24"/>
          <w:szCs w:val="24"/>
          <w:u w:val="single"/>
        </w:rPr>
      </w:pPr>
      <w:bookmarkStart w:id="4" w:name="_Toc58247238"/>
      <w:r w:rsidRPr="00AF2699">
        <w:rPr>
          <w:color w:val="275317" w:themeColor="accent6" w:themeShade="80"/>
          <w:sz w:val="24"/>
          <w:szCs w:val="24"/>
          <w:u w:val="single"/>
        </w:rPr>
        <w:t>Links with other policies</w:t>
      </w:r>
      <w:bookmarkEnd w:id="4"/>
    </w:p>
    <w:p w14:paraId="6493457B" w14:textId="77777777" w:rsidR="00D317BA" w:rsidRPr="00AF2699" w:rsidRDefault="00D317BA" w:rsidP="00D317BA">
      <w:pPr>
        <w:pStyle w:val="1bodycopy10pt"/>
        <w:rPr>
          <w:rFonts w:cs="Arial"/>
          <w:sz w:val="24"/>
        </w:rPr>
      </w:pPr>
      <w:r w:rsidRPr="00AF2699">
        <w:rPr>
          <w:rFonts w:cs="Arial"/>
          <w:sz w:val="24"/>
        </w:rPr>
        <w:t>This accessibility plan is linked to the following policies and documents:</w:t>
      </w:r>
    </w:p>
    <w:p w14:paraId="00DD7434" w14:textId="77777777" w:rsidR="00D317BA" w:rsidRPr="00AF2699" w:rsidRDefault="00D317BA" w:rsidP="00D317BA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AF2699">
        <w:rPr>
          <w:sz w:val="24"/>
          <w:szCs w:val="24"/>
        </w:rPr>
        <w:t>Risk assessment policy</w:t>
      </w:r>
    </w:p>
    <w:p w14:paraId="4ABF8D50" w14:textId="77777777" w:rsidR="00D317BA" w:rsidRPr="00AF2699" w:rsidRDefault="00D317BA" w:rsidP="00D317BA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AF2699">
        <w:rPr>
          <w:sz w:val="24"/>
          <w:szCs w:val="24"/>
        </w:rPr>
        <w:t>Health and safety policy</w:t>
      </w:r>
    </w:p>
    <w:p w14:paraId="319D062A" w14:textId="77777777" w:rsidR="00D317BA" w:rsidRPr="00AF2699" w:rsidRDefault="00D317BA" w:rsidP="00D317BA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AF2699">
        <w:rPr>
          <w:color w:val="000000"/>
          <w:sz w:val="24"/>
          <w:szCs w:val="24"/>
          <w:shd w:val="clear" w:color="auto" w:fill="FFFFFF"/>
        </w:rPr>
        <w:t>Equality information and objectives (public sector equality duty) statement for publication</w:t>
      </w:r>
    </w:p>
    <w:p w14:paraId="2D649206" w14:textId="77777777" w:rsidR="00D317BA" w:rsidRPr="00AF2699" w:rsidRDefault="00D317BA" w:rsidP="00D317BA">
      <w:pPr>
        <w:pStyle w:val="4Bulletedcopyblue"/>
        <w:numPr>
          <w:ilvl w:val="0"/>
          <w:numId w:val="9"/>
        </w:numPr>
        <w:rPr>
          <w:sz w:val="24"/>
          <w:szCs w:val="24"/>
        </w:rPr>
      </w:pPr>
      <w:r w:rsidRPr="00AF2699">
        <w:rPr>
          <w:sz w:val="24"/>
          <w:szCs w:val="24"/>
        </w:rPr>
        <w:t>Supporting learners with medical conditions policy</w:t>
      </w:r>
    </w:p>
    <w:p w14:paraId="0642CC58" w14:textId="77777777" w:rsidR="007A03B3" w:rsidRPr="00AF2699" w:rsidRDefault="007A03B3" w:rsidP="00DC4C0F">
      <w:pPr>
        <w:rPr>
          <w:rFonts w:cs="Arial"/>
          <w:sz w:val="24"/>
        </w:rPr>
      </w:pPr>
    </w:p>
    <w:sectPr w:rsidR="007A03B3" w:rsidRPr="00AF2699" w:rsidSect="000F17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92" w:right="1077" w:bottom="1701" w:left="1077" w:header="567" w:footer="227" w:gutter="0"/>
      <w:pgBorders w:offsetFrom="page">
        <w:top w:val="single" w:sz="24" w:space="24" w:color="275317" w:themeColor="accent6" w:themeShade="80"/>
        <w:left w:val="single" w:sz="24" w:space="24" w:color="275317" w:themeColor="accent6" w:themeShade="80"/>
        <w:bottom w:val="single" w:sz="24" w:space="24" w:color="275317" w:themeColor="accent6" w:themeShade="80"/>
        <w:right w:val="single" w:sz="24" w:space="24" w:color="275317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455B" w14:textId="77777777" w:rsidR="00532E9E" w:rsidRDefault="00532E9E" w:rsidP="00626EDA">
      <w:r>
        <w:separator/>
      </w:r>
    </w:p>
  </w:endnote>
  <w:endnote w:type="continuationSeparator" w:id="0">
    <w:p w14:paraId="756E667F" w14:textId="77777777" w:rsidR="00532E9E" w:rsidRDefault="00532E9E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1C63" w14:textId="77777777" w:rsidR="00754B4A" w:rsidRDefault="00754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6A49" w14:textId="522B3FA5" w:rsidR="00D560BE" w:rsidRPr="00D560BE" w:rsidRDefault="00D560BE" w:rsidP="00D560BE">
    <w:pPr>
      <w:tabs>
        <w:tab w:val="center" w:pos="4513"/>
        <w:tab w:val="right" w:pos="9026"/>
      </w:tabs>
      <w:spacing w:after="0"/>
      <w:jc w:val="center"/>
      <w:rPr>
        <w:rFonts w:ascii="Akaya Telivigala" w:eastAsia="Aptos" w:hAnsi="Akaya Telivigala" w:cs="Akaya Telivigala"/>
        <w:caps/>
        <w:color w:val="156082"/>
        <w:kern w:val="2"/>
        <w:sz w:val="24"/>
        <w:lang w:val="en-GB"/>
      </w:rPr>
    </w:pPr>
  </w:p>
  <w:p w14:paraId="631B3A26" w14:textId="60357D13" w:rsidR="00D560BE" w:rsidRPr="00D560BE" w:rsidRDefault="00D560BE" w:rsidP="00D560BE">
    <w:pPr>
      <w:tabs>
        <w:tab w:val="left" w:pos="4104"/>
        <w:tab w:val="center" w:pos="4513"/>
        <w:tab w:val="right" w:pos="9026"/>
      </w:tabs>
      <w:spacing w:after="0"/>
      <w:jc w:val="center"/>
      <w:rPr>
        <w:rFonts w:ascii="Akaya Telivigala" w:eastAsia="Calibri" w:hAnsi="Akaya Telivigala" w:cs="Akaya Telivigala"/>
        <w:caps/>
        <w:noProof/>
        <w:color w:val="385623"/>
        <w:sz w:val="22"/>
        <w:szCs w:val="22"/>
        <w:lang w:val="en-GB"/>
      </w:rPr>
    </w:pPr>
  </w:p>
  <w:p w14:paraId="0B752E3E" w14:textId="77777777" w:rsidR="00D560BE" w:rsidRDefault="00D56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A890" w14:textId="77777777" w:rsidR="00F06022" w:rsidRDefault="00F060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81A2" w14:textId="77777777" w:rsidR="00FE3F15" w:rsidRPr="00512916" w:rsidRDefault="00FE3F15" w:rsidP="006F569D">
    <w:pPr>
      <w:pStyle w:val="Footer"/>
      <w:rPr>
        <w:noProof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0F98E508" w14:textId="77777777" w:rsidTr="001235FA">
      <w:tc>
        <w:tcPr>
          <w:tcW w:w="6379" w:type="dxa"/>
          <w:shd w:val="clear" w:color="auto" w:fill="auto"/>
        </w:tcPr>
        <w:p w14:paraId="16B1499F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2A6213A8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779724F1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90EA" w14:textId="77777777" w:rsidR="00532E9E" w:rsidRDefault="00532E9E" w:rsidP="00626EDA">
      <w:r>
        <w:separator/>
      </w:r>
    </w:p>
  </w:footnote>
  <w:footnote w:type="continuationSeparator" w:id="0">
    <w:p w14:paraId="0E0B1592" w14:textId="77777777" w:rsidR="00532E9E" w:rsidRDefault="00532E9E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AD15" w14:textId="6C952B6D" w:rsidR="00D317BA" w:rsidRDefault="003E2A83">
    <w:r>
      <w:rPr>
        <w:noProof/>
      </w:rPr>
      <w:drawing>
        <wp:anchor distT="0" distB="0" distL="114300" distR="114300" simplePos="0" relativeHeight="251657216" behindDoc="1" locked="0" layoutInCell="1" allowOverlap="1" wp14:anchorId="6922D529" wp14:editId="06AB16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836295328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8586341" wp14:editId="0724DC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957725667" name="Picture 1" descr="keydocs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ydocs-backgro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AB0C" w14:textId="77777777" w:rsidR="00D317BA" w:rsidRDefault="00D317BA"/>
  <w:p w14:paraId="4702B457" w14:textId="77777777" w:rsidR="00D317BA" w:rsidRDefault="00D317BA"/>
  <w:p w14:paraId="4DCD444C" w14:textId="77777777" w:rsidR="00D317BA" w:rsidRDefault="00D317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6FF9" w14:textId="77777777" w:rsidR="00D317BA" w:rsidRDefault="00D317BA"/>
  <w:p w14:paraId="6B71884F" w14:textId="77777777" w:rsidR="00D317BA" w:rsidRDefault="00D317BA" w:rsidP="00FE3F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D78C" w14:textId="0BAFAAE6" w:rsidR="00FE3F15" w:rsidRDefault="003E2A83">
    <w:r>
      <w:rPr>
        <w:noProof/>
      </w:rPr>
      <w:drawing>
        <wp:anchor distT="0" distB="0" distL="114300" distR="114300" simplePos="0" relativeHeight="251656192" behindDoc="1" locked="0" layoutInCell="1" allowOverlap="1" wp14:anchorId="71E49AE3" wp14:editId="774ACD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4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C6F">
      <w:rPr>
        <w:noProof/>
      </w:rPr>
      <w:pict w14:anchorId="6A16F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22C0" w14:textId="77777777" w:rsidR="00FE3F15" w:rsidRDefault="00FE3F15"/>
  <w:p w14:paraId="2763E9B5" w14:textId="77777777" w:rsidR="00FE3F15" w:rsidRDefault="00FE3F15"/>
  <w:p w14:paraId="3F0982F2" w14:textId="77777777" w:rsidR="00FE3F15" w:rsidRDefault="00FE3F1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0C18" w14:textId="77777777" w:rsidR="00FE3F15" w:rsidRDefault="00FE3F15"/>
  <w:p w14:paraId="7012D73F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36pt;height:30pt" o:bullet="t">
        <v:imagedata r:id="rId1" o:title="Tick"/>
      </v:shape>
    </w:pict>
  </w:numPicBullet>
  <w:numPicBullet w:numPicBulletId="1">
    <w:pict>
      <v:shape id="_x0000_i1283" type="#_x0000_t75" style="width:30pt;height:30pt" o:bullet="t">
        <v:imagedata r:id="rId2" o:title="Cross"/>
      </v:shape>
    </w:pict>
  </w:numPicBullet>
  <w:numPicBullet w:numPicBulletId="2">
    <w:pict>
      <v:shape id="_x0000_i1284" type="#_x0000_t75" style="width:208.8pt;height:331.8pt" o:bullet="t">
        <v:imagedata r:id="rId3" o:title="art1EF6"/>
      </v:shape>
    </w:pict>
  </w:numPicBullet>
  <w:numPicBullet w:numPicBulletId="3">
    <w:pict>
      <v:shape id="_x0000_i1285" type="#_x0000_t75" style="width:208.8pt;height:331.8pt" o:bullet="t">
        <v:imagedata r:id="rId4" o:title="TK_LOGO_POINTER_RGB_bullet_blue"/>
      </v:shape>
    </w:pict>
  </w:numPicBullet>
  <w:numPicBullet w:numPicBulletId="4">
    <w:pict>
      <v:shape id="_x0000_i1286" type="#_x0000_t75" style="width:566.4pt;height:903.6pt" o:bullet="t">
        <v:imagedata r:id="rId5" o:title="Blue Pointer-01-01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594849841">
    <w:abstractNumId w:val="8"/>
  </w:num>
  <w:num w:numId="2" w16cid:durableId="1915168174">
    <w:abstractNumId w:val="2"/>
  </w:num>
  <w:num w:numId="3" w16cid:durableId="756176803">
    <w:abstractNumId w:val="6"/>
  </w:num>
  <w:num w:numId="4" w16cid:durableId="1243369849">
    <w:abstractNumId w:val="9"/>
  </w:num>
  <w:num w:numId="5" w16cid:durableId="1685814675">
    <w:abstractNumId w:val="0"/>
  </w:num>
  <w:num w:numId="6" w16cid:durableId="1000696230">
    <w:abstractNumId w:val="4"/>
  </w:num>
  <w:num w:numId="7" w16cid:durableId="1549757573">
    <w:abstractNumId w:val="1"/>
  </w:num>
  <w:num w:numId="8" w16cid:durableId="1777095619">
    <w:abstractNumId w:val="3"/>
  </w:num>
  <w:num w:numId="9" w16cid:durableId="844638066">
    <w:abstractNumId w:val="10"/>
  </w:num>
  <w:num w:numId="10" w16cid:durableId="2010476532">
    <w:abstractNumId w:val="6"/>
  </w:num>
  <w:num w:numId="11" w16cid:durableId="1082793508">
    <w:abstractNumId w:val="2"/>
  </w:num>
  <w:num w:numId="12" w16cid:durableId="2078430463">
    <w:abstractNumId w:val="10"/>
  </w:num>
  <w:num w:numId="13" w16cid:durableId="353459886">
    <w:abstractNumId w:val="8"/>
  </w:num>
  <w:num w:numId="14" w16cid:durableId="2107798861">
    <w:abstractNumId w:val="9"/>
  </w:num>
  <w:num w:numId="15" w16cid:durableId="1403017296">
    <w:abstractNumId w:val="1"/>
  </w:num>
  <w:num w:numId="16" w16cid:durableId="964000614">
    <w:abstractNumId w:val="3"/>
  </w:num>
  <w:num w:numId="17" w16cid:durableId="1115753113">
    <w:abstractNumId w:val="9"/>
  </w:num>
  <w:num w:numId="18" w16cid:durableId="1223754001">
    <w:abstractNumId w:val="5"/>
  </w:num>
  <w:num w:numId="19" w16cid:durableId="57261706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C3804"/>
    <w:rsid w:val="000D6968"/>
    <w:rsid w:val="000F174F"/>
    <w:rsid w:val="000F5932"/>
    <w:rsid w:val="000F59C7"/>
    <w:rsid w:val="001201E4"/>
    <w:rsid w:val="001235FA"/>
    <w:rsid w:val="0013341A"/>
    <w:rsid w:val="001357C9"/>
    <w:rsid w:val="001566F2"/>
    <w:rsid w:val="0017045F"/>
    <w:rsid w:val="001714F0"/>
    <w:rsid w:val="001978C4"/>
    <w:rsid w:val="001B2301"/>
    <w:rsid w:val="001B7195"/>
    <w:rsid w:val="001E3CA3"/>
    <w:rsid w:val="001F2B16"/>
    <w:rsid w:val="002308BE"/>
    <w:rsid w:val="00235450"/>
    <w:rsid w:val="002451E9"/>
    <w:rsid w:val="00263F71"/>
    <w:rsid w:val="00275D5E"/>
    <w:rsid w:val="002D2478"/>
    <w:rsid w:val="002E16E7"/>
    <w:rsid w:val="002E3705"/>
    <w:rsid w:val="002E5D89"/>
    <w:rsid w:val="002F4E11"/>
    <w:rsid w:val="003365A2"/>
    <w:rsid w:val="00372F45"/>
    <w:rsid w:val="00375061"/>
    <w:rsid w:val="00377808"/>
    <w:rsid w:val="00377FFC"/>
    <w:rsid w:val="003A6F95"/>
    <w:rsid w:val="003B2EB4"/>
    <w:rsid w:val="003C1D02"/>
    <w:rsid w:val="003D4E0B"/>
    <w:rsid w:val="003E2A83"/>
    <w:rsid w:val="003F2BD9"/>
    <w:rsid w:val="003F6230"/>
    <w:rsid w:val="00411BE9"/>
    <w:rsid w:val="00430916"/>
    <w:rsid w:val="0046077F"/>
    <w:rsid w:val="004633B2"/>
    <w:rsid w:val="00465755"/>
    <w:rsid w:val="004750A7"/>
    <w:rsid w:val="00492175"/>
    <w:rsid w:val="004944EE"/>
    <w:rsid w:val="004A1719"/>
    <w:rsid w:val="004B05BB"/>
    <w:rsid w:val="004B3C9A"/>
    <w:rsid w:val="004C5544"/>
    <w:rsid w:val="004F463D"/>
    <w:rsid w:val="00510ED3"/>
    <w:rsid w:val="00512916"/>
    <w:rsid w:val="00531C8C"/>
    <w:rsid w:val="00532E9E"/>
    <w:rsid w:val="00543D26"/>
    <w:rsid w:val="00564CD3"/>
    <w:rsid w:val="00573834"/>
    <w:rsid w:val="00584A10"/>
    <w:rsid w:val="00590890"/>
    <w:rsid w:val="00597ED1"/>
    <w:rsid w:val="005A7347"/>
    <w:rsid w:val="005B1D35"/>
    <w:rsid w:val="005B3CA6"/>
    <w:rsid w:val="005B4650"/>
    <w:rsid w:val="005B7ADF"/>
    <w:rsid w:val="00621FD9"/>
    <w:rsid w:val="0062626B"/>
    <w:rsid w:val="00626EDA"/>
    <w:rsid w:val="00643546"/>
    <w:rsid w:val="00671FE5"/>
    <w:rsid w:val="00680CD2"/>
    <w:rsid w:val="006F569D"/>
    <w:rsid w:val="006F7E8A"/>
    <w:rsid w:val="007070A1"/>
    <w:rsid w:val="00715DD1"/>
    <w:rsid w:val="007239F8"/>
    <w:rsid w:val="0072620F"/>
    <w:rsid w:val="00735B7D"/>
    <w:rsid w:val="00740AC8"/>
    <w:rsid w:val="007543AA"/>
    <w:rsid w:val="00754B4A"/>
    <w:rsid w:val="0077765A"/>
    <w:rsid w:val="00785BEE"/>
    <w:rsid w:val="007A03B3"/>
    <w:rsid w:val="007A5171"/>
    <w:rsid w:val="007A7E05"/>
    <w:rsid w:val="007C5AC9"/>
    <w:rsid w:val="007D268D"/>
    <w:rsid w:val="007E217D"/>
    <w:rsid w:val="007E521C"/>
    <w:rsid w:val="007E6128"/>
    <w:rsid w:val="007F2F4C"/>
    <w:rsid w:val="007F788B"/>
    <w:rsid w:val="00805A94"/>
    <w:rsid w:val="0080784C"/>
    <w:rsid w:val="008116A6"/>
    <w:rsid w:val="008472C3"/>
    <w:rsid w:val="00866E39"/>
    <w:rsid w:val="00874C73"/>
    <w:rsid w:val="00877394"/>
    <w:rsid w:val="00887DB6"/>
    <w:rsid w:val="008941E7"/>
    <w:rsid w:val="008C1253"/>
    <w:rsid w:val="008F2ECD"/>
    <w:rsid w:val="008F744A"/>
    <w:rsid w:val="009122BB"/>
    <w:rsid w:val="00921EC6"/>
    <w:rsid w:val="0094410A"/>
    <w:rsid w:val="009814F4"/>
    <w:rsid w:val="0098482E"/>
    <w:rsid w:val="0099114F"/>
    <w:rsid w:val="009A267F"/>
    <w:rsid w:val="009A448F"/>
    <w:rsid w:val="009B1F2D"/>
    <w:rsid w:val="009D1474"/>
    <w:rsid w:val="009E331F"/>
    <w:rsid w:val="009F66A8"/>
    <w:rsid w:val="00A01A1D"/>
    <w:rsid w:val="00A466EE"/>
    <w:rsid w:val="00A477BB"/>
    <w:rsid w:val="00A514C3"/>
    <w:rsid w:val="00A62B49"/>
    <w:rsid w:val="00A80AA7"/>
    <w:rsid w:val="00A91D2D"/>
    <w:rsid w:val="00A923D5"/>
    <w:rsid w:val="00AA6E73"/>
    <w:rsid w:val="00AD3666"/>
    <w:rsid w:val="00AF2699"/>
    <w:rsid w:val="00B107CD"/>
    <w:rsid w:val="00B4263C"/>
    <w:rsid w:val="00B5559F"/>
    <w:rsid w:val="00B613DC"/>
    <w:rsid w:val="00B6679E"/>
    <w:rsid w:val="00B66F6B"/>
    <w:rsid w:val="00B71ECF"/>
    <w:rsid w:val="00B72D55"/>
    <w:rsid w:val="00B81BD0"/>
    <w:rsid w:val="00B846C2"/>
    <w:rsid w:val="00B95F60"/>
    <w:rsid w:val="00BD5A90"/>
    <w:rsid w:val="00BE3E54"/>
    <w:rsid w:val="00C1294A"/>
    <w:rsid w:val="00C31397"/>
    <w:rsid w:val="00C4589F"/>
    <w:rsid w:val="00C4731F"/>
    <w:rsid w:val="00C51C6A"/>
    <w:rsid w:val="00C8314B"/>
    <w:rsid w:val="00C91F46"/>
    <w:rsid w:val="00CC51B6"/>
    <w:rsid w:val="00CC563E"/>
    <w:rsid w:val="00CC6AAF"/>
    <w:rsid w:val="00CD23C4"/>
    <w:rsid w:val="00CD2BC6"/>
    <w:rsid w:val="00CD3223"/>
    <w:rsid w:val="00CE5BBF"/>
    <w:rsid w:val="00CF553F"/>
    <w:rsid w:val="00D11C7E"/>
    <w:rsid w:val="00D264C1"/>
    <w:rsid w:val="00D317BA"/>
    <w:rsid w:val="00D508B4"/>
    <w:rsid w:val="00D560BE"/>
    <w:rsid w:val="00D70D95"/>
    <w:rsid w:val="00D86752"/>
    <w:rsid w:val="00D95FA0"/>
    <w:rsid w:val="00DA01DC"/>
    <w:rsid w:val="00DA43DE"/>
    <w:rsid w:val="00DA5725"/>
    <w:rsid w:val="00DA7F11"/>
    <w:rsid w:val="00DC28D6"/>
    <w:rsid w:val="00DC4C0F"/>
    <w:rsid w:val="00DC5FAC"/>
    <w:rsid w:val="00DF66B4"/>
    <w:rsid w:val="00E00085"/>
    <w:rsid w:val="00E03140"/>
    <w:rsid w:val="00E06B9B"/>
    <w:rsid w:val="00E24FDF"/>
    <w:rsid w:val="00E25146"/>
    <w:rsid w:val="00E25502"/>
    <w:rsid w:val="00E3210F"/>
    <w:rsid w:val="00E36879"/>
    <w:rsid w:val="00E606E8"/>
    <w:rsid w:val="00E647DF"/>
    <w:rsid w:val="00E763E4"/>
    <w:rsid w:val="00E82606"/>
    <w:rsid w:val="00E9136B"/>
    <w:rsid w:val="00EA5CBF"/>
    <w:rsid w:val="00EC6653"/>
    <w:rsid w:val="00EC7160"/>
    <w:rsid w:val="00EF22F0"/>
    <w:rsid w:val="00EF631F"/>
    <w:rsid w:val="00F02A4E"/>
    <w:rsid w:val="00F06022"/>
    <w:rsid w:val="00F139E0"/>
    <w:rsid w:val="00F22497"/>
    <w:rsid w:val="00F40B4D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A4FEF4A"/>
  <w15:chartTrackingRefBased/>
  <w15:docId w15:val="{6BE6E3E5-508A-4350-B5D8-8C60C94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styleId="NormalWeb">
    <w:name w:val="Normal (Web)"/>
    <w:basedOn w:val="Normal"/>
    <w:uiPriority w:val="99"/>
    <w:semiHidden/>
    <w:unhideWhenUsed/>
    <w:rsid w:val="00AF269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send-code-of-practice-0-to-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publications/equality-act-2010-advice-for-school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0/15/schedule/10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DB6C4EFB-ADA9-4C99-BB75-C5168CBA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Links>
    <vt:vector size="24" baseType="variant"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https://www.gov.uk/government/publications/equality-act-2010-advice-for-schools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http://www.legislation.gov.uk/ukpga/2010/15/schedule/10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Rob Stevenson</cp:lastModifiedBy>
  <cp:revision>2</cp:revision>
  <cp:lastPrinted>2024-11-08T12:23:00Z</cp:lastPrinted>
  <dcterms:created xsi:type="dcterms:W3CDTF">2025-01-18T15:59:00Z</dcterms:created>
  <dcterms:modified xsi:type="dcterms:W3CDTF">2025-01-18T15:59:00Z</dcterms:modified>
</cp:coreProperties>
</file>