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70" w:line="240" w:lineRule="auto"/>
        <w:ind w:left="720" w:firstLine="720"/>
        <w:rPr>
          <w:rFonts w:ascii="Times New Roman" w:cs="Times New Roman" w:eastAsia="Times New Roman" w:hAnsi="Times New Roman"/>
          <w:b w:val="1"/>
          <w:bCs w:val="1"/>
          <w:sz w:val="31"/>
          <w:szCs w:val="3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-409574</wp:posOffset>
            </wp:positionH>
            <wp:positionV relativeFrom="paragraph">
              <wp:posOffset>142875</wp:posOffset>
            </wp:positionV>
            <wp:extent cx="4891201" cy="2221846"/>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891201" cy="2221846"/>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70" w:line="240" w:lineRule="auto"/>
        <w:ind w:left="720" w:firstLine="720"/>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70" w:line="240" w:lineRule="auto"/>
        <w:ind w:left="0" w:firstLine="0"/>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70" w:line="240" w:lineRule="auto"/>
        <w:ind w:left="0" w:firstLine="0"/>
        <w:rPr>
          <w:rFonts w:ascii="Oswald" w:cs="Oswald" w:eastAsia="Oswald" w:hAnsi="Oswald"/>
          <w:b w:val="1"/>
          <w:bCs w:val="1"/>
          <w:color w:val="e70000"/>
          <w:sz w:val="52"/>
          <w:szCs w:val="52"/>
        </w:rPr>
      </w:pPr>
      <w:r w:rsidDel="00000000" w:rsidR="00000000" w:rsidRPr="00000000">
        <w:rPr>
          <w:rFonts w:ascii="Oswald" w:cs="Oswald" w:eastAsia="Oswald" w:hAnsi="Oswald"/>
          <w:b w:val="1"/>
          <w:bCs w:val="1"/>
          <w:color w:val="e70000"/>
          <w:sz w:val="52"/>
          <w:szCs w:val="52"/>
          <w:rtl w:val="0"/>
        </w:rPr>
        <w:t xml:space="preserve">Safe and Sound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70" w:line="240" w:lineRule="auto"/>
        <w:ind w:left="0" w:firstLine="0"/>
        <w:rPr>
          <w:rFonts w:ascii="Oswald" w:cs="Oswald" w:eastAsia="Oswald" w:hAnsi="Oswald"/>
          <w:b w:val="1"/>
          <w:bCs w:val="1"/>
          <w:color w:val="e70000"/>
          <w:sz w:val="52"/>
          <w:szCs w:val="5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70" w:line="240" w:lineRule="auto"/>
        <w:ind w:left="0" w:firstLine="0"/>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0" w:line="240" w:lineRule="auto"/>
        <w:ind w:left="720" w:firstLine="720"/>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color w:val="000000"/>
          <w:sz w:val="34"/>
          <w:szCs w:val="34"/>
          <w:rtl w:val="0"/>
        </w:rPr>
        <w:t xml:space="preserve">Monitored Property Exchange Neutrality Agreement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Name: _________________________________________ Date: _____________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29" w:lineRule="auto"/>
        <w:ind w:right="348"/>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29" w:lineRule="auto"/>
        <w:ind w:right="348"/>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29" w:lineRule="auto"/>
        <w:ind w:right="34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understand and acknowledge that the Property Exchange Monitor may not take on additional roles outside the role of facilitating a non-biased property exchange and documentation of what occurred. _______</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29" w:lineRule="auto"/>
        <w:ind w:right="348"/>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ab/>
        <w:tab/>
        <w:t xml:space="preserve">                                    Initials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82"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Property Exchange Monitor’s role is </w:t>
      </w:r>
      <w:r w:rsidDel="00000000" w:rsidR="00000000" w:rsidRPr="00000000">
        <w:rPr>
          <w:rFonts w:ascii="Times New Roman" w:cs="Times New Roman" w:eastAsia="Times New Roman" w:hAnsi="Times New Roman"/>
          <w:color w:val="000000"/>
          <w:sz w:val="28"/>
          <w:szCs w:val="28"/>
          <w:u w:val="single"/>
          <w:rtl w:val="0"/>
        </w:rPr>
        <w:t xml:space="preserve">not</w:t>
      </w:r>
      <w:r w:rsidDel="00000000" w:rsidR="00000000" w:rsidRPr="00000000">
        <w:rPr>
          <w:rFonts w:ascii="Times New Roman" w:cs="Times New Roman" w:eastAsia="Times New Roman" w:hAnsi="Times New Roman"/>
          <w:color w:val="000000"/>
          <w:sz w:val="28"/>
          <w:szCs w:val="28"/>
          <w:rtl w:val="0"/>
        </w:rPr>
        <w:t xml:space="preserve"> to “take sides,” to act as a go-between, and/or to receive information regarding the personal feelings of either party. _______</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29" w:lineRule="auto"/>
        <w:ind w:right="465"/>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Property Exchange Monitor’s role does </w:t>
      </w:r>
      <w:r w:rsidDel="00000000" w:rsidR="00000000" w:rsidRPr="00000000">
        <w:rPr>
          <w:rFonts w:ascii="Times New Roman" w:cs="Times New Roman" w:eastAsia="Times New Roman" w:hAnsi="Times New Roman"/>
          <w:color w:val="000000"/>
          <w:sz w:val="28"/>
          <w:szCs w:val="28"/>
          <w:u w:val="single"/>
          <w:rtl w:val="0"/>
        </w:rPr>
        <w:t xml:space="preserve">not</w:t>
      </w:r>
      <w:r w:rsidDel="00000000" w:rsidR="00000000" w:rsidRPr="00000000">
        <w:rPr>
          <w:rFonts w:ascii="Times New Roman" w:cs="Times New Roman" w:eastAsia="Times New Roman" w:hAnsi="Times New Roman"/>
          <w:color w:val="000000"/>
          <w:sz w:val="28"/>
          <w:szCs w:val="28"/>
          <w:rtl w:val="0"/>
        </w:rPr>
        <w:t xml:space="preserve"> include viewing text messages sent by one party to the other, nor does it involve moderating conversations the parties have had. _______</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6" w:line="229" w:lineRule="auto"/>
        <w:ind w:right="36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6" w:line="229" w:lineRule="auto"/>
        <w:ind w:right="364"/>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6" w:line="229" w:lineRule="auto"/>
        <w:ind w:right="36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Property Exchange Monitor’s role does </w:t>
      </w:r>
      <w:r w:rsidDel="00000000" w:rsidR="00000000" w:rsidRPr="00000000">
        <w:rPr>
          <w:rFonts w:ascii="Times New Roman" w:cs="Times New Roman" w:eastAsia="Times New Roman" w:hAnsi="Times New Roman"/>
          <w:color w:val="000000"/>
          <w:sz w:val="28"/>
          <w:szCs w:val="28"/>
          <w:u w:val="single"/>
          <w:rtl w:val="0"/>
        </w:rPr>
        <w:t xml:space="preserve">not</w:t>
      </w:r>
      <w:r w:rsidDel="00000000" w:rsidR="00000000" w:rsidRPr="00000000">
        <w:rPr>
          <w:rFonts w:ascii="Times New Roman" w:cs="Times New Roman" w:eastAsia="Times New Roman" w:hAnsi="Times New Roman"/>
          <w:color w:val="000000"/>
          <w:sz w:val="28"/>
          <w:szCs w:val="28"/>
          <w:rtl w:val="0"/>
        </w:rPr>
        <w:t xml:space="preserve"> include deciding what items should be retrieved or exchanged.  It is understood that the Property Exchange Monitor can only follow the Court Order or written stipulated agreement. _______</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6" w:line="229" w:lineRule="auto"/>
        <w:ind w:right="36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6" w:line="229" w:lineRule="auto"/>
        <w:ind w:right="51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6" w:line="229" w:lineRule="auto"/>
        <w:ind w:right="515"/>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31" w:lineRule="auto"/>
        <w:ind w:right="50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Property Exchange Monitor’s only role is to facilitate and document the exchange of property per the Court Order or written stipulated agreement. ____</w:t>
      </w:r>
      <w:r w:rsidDel="00000000" w:rsidR="00000000" w:rsidRPr="00000000">
        <w:rPr>
          <w:rFonts w:ascii="Times New Roman" w:cs="Times New Roman" w:eastAsia="Times New Roman" w:hAnsi="Times New Roman"/>
          <w:sz w:val="28"/>
          <w:szCs w:val="28"/>
          <w:rtl w:val="0"/>
        </w:rPr>
        <w:t xml:space="preserve">___</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31" w:lineRule="auto"/>
        <w:ind w:right="50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9"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29" w:lineRule="auto"/>
        <w:ind w:right="425"/>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color w:val="000000"/>
          <w:sz w:val="28"/>
          <w:szCs w:val="28"/>
          <w:rtl w:val="0"/>
        </w:rPr>
        <w:t xml:space="preserve">communication between one party and the Property Exchange Monitor </w:t>
      </w:r>
      <w:r w:rsidDel="00000000" w:rsidR="00000000" w:rsidRPr="00000000">
        <w:rPr>
          <w:rFonts w:ascii="Times New Roman" w:cs="Times New Roman" w:eastAsia="Times New Roman" w:hAnsi="Times New Roman"/>
          <w:sz w:val="28"/>
          <w:szCs w:val="28"/>
          <w:rtl w:val="0"/>
        </w:rPr>
        <w:t xml:space="preserve">shall</w:t>
      </w:r>
      <w:r w:rsidDel="00000000" w:rsidR="00000000" w:rsidRPr="00000000">
        <w:rPr>
          <w:rFonts w:ascii="Times New Roman" w:cs="Times New Roman" w:eastAsia="Times New Roman" w:hAnsi="Times New Roman"/>
          <w:color w:val="000000"/>
          <w:sz w:val="28"/>
          <w:szCs w:val="28"/>
          <w:rtl w:val="0"/>
        </w:rPr>
        <w:t xml:space="preserve"> be related to setting the schedule for the exchanges and providing documentation regarding the exchange. _______</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29" w:lineRule="auto"/>
        <w:ind w:right="425"/>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Initials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29" w:lineRule="auto"/>
        <w:ind w:right="425"/>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29" w:lineRule="auto"/>
        <w:ind w:right="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The property exchange shall be videotaped by the Property Exchange Monitor. ______</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29" w:lineRule="auto"/>
        <w:ind w:right="425"/>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1F">
      <w:pPr>
        <w:widowControl w:val="0"/>
        <w:pBdr>
          <w:left w:space="0" w:sz="0" w:val="nil"/>
          <w:bottom w:space="0" w:sz="0" w:val="nil"/>
          <w:right w:space="0" w:sz="0" w:val="nil"/>
          <w:between w:space="0" w:sz="0" w:val="nil"/>
        </w:pBdr>
        <w:spacing w:line="229" w:lineRule="auto"/>
        <w:ind w:right="22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29"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Property Exchange Monitor shall remain as a neutral third party at all times.  The issues listed above should be presented to your attorney in order to insure that they are aware of the limitations of the role of the Property Exchange Monitor. _______</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29"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Initials</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29" w:lineRule="auto"/>
        <w:ind w:right="425"/>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widowControl w:val="0"/>
        <w:pBdr>
          <w:left w:space="0" w:sz="0" w:val="nil"/>
          <w:bottom w:space="0" w:sz="0" w:val="nil"/>
          <w:right w:space="0" w:sz="0" w:val="nil"/>
          <w:between w:space="0" w:sz="0" w:val="nil"/>
        </w:pBdr>
        <w:spacing w:line="229" w:lineRule="auto"/>
        <w:ind w:right="224"/>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4">
      <w:pPr>
        <w:widowControl w:val="0"/>
        <w:pBdr>
          <w:left w:space="0" w:sz="0" w:val="nil"/>
          <w:bottom w:space="0" w:sz="0" w:val="nil"/>
          <w:right w:space="0" w:sz="0" w:val="nil"/>
          <w:between w:space="0" w:sz="0" w:val="nil"/>
        </w:pBdr>
        <w:spacing w:line="229" w:lineRule="auto"/>
        <w:ind w:right="22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 </w:t>
      </w:r>
    </w:p>
    <w:p w:rsidR="00000000" w:rsidDel="00000000" w:rsidP="00000000" w:rsidRDefault="00000000" w:rsidRPr="00000000" w14:paraId="00000025">
      <w:pPr>
        <w:widowControl w:val="0"/>
        <w:pBdr>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Signature</w:t>
      </w:r>
    </w:p>
    <w:p w:rsidR="00000000" w:rsidDel="00000000" w:rsidP="00000000" w:rsidRDefault="00000000" w:rsidRPr="00000000" w14:paraId="00000026">
      <w:pPr>
        <w:widowControl w:val="0"/>
        <w:pBdr>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7">
      <w:pPr>
        <w:widowControl w:val="0"/>
        <w:pBdr>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Date</w:t>
      </w:r>
    </w:p>
    <w:sectPr>
      <w:pgSz w:h="15840" w:w="12240" w:orient="portrait"/>
      <w:pgMar w:bottom="1567" w:top="720" w:left="1437" w:right="14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Oswald">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445AE"/>
    <w:pPr>
      <w:keepNext w:val="1"/>
      <w:keepLines w:val="1"/>
      <w:spacing w:before="40" w:line="259" w:lineRule="auto"/>
      <w:outlineLvl w:val="6"/>
    </w:pPr>
    <w:rPr>
      <w:rFonts w:asciiTheme="minorHAnsi" w:cstheme="majorBidi" w:eastAsiaTheme="majorEastAsia" w:hAnsiTheme="minorHAnsi"/>
      <w:color w:val="595959" w:themeColor="text1" w:themeTint="0000A6"/>
      <w:kern w:val="2"/>
      <w:sz w:val="24"/>
      <w:szCs w:val="24"/>
    </w:rPr>
  </w:style>
  <w:style w:type="paragraph" w:styleId="Heading8">
    <w:name w:val="heading 8"/>
    <w:basedOn w:val="Normal"/>
    <w:next w:val="Normal"/>
    <w:link w:val="Heading8Char"/>
    <w:uiPriority w:val="9"/>
    <w:semiHidden w:val="1"/>
    <w:unhideWhenUsed w:val="1"/>
    <w:qFormat w:val="1"/>
    <w:rsid w:val="003445AE"/>
    <w:pPr>
      <w:keepNext w:val="1"/>
      <w:keepLines w:val="1"/>
      <w:spacing w:line="259" w:lineRule="auto"/>
      <w:outlineLvl w:val="7"/>
    </w:pPr>
    <w:rPr>
      <w:rFonts w:asciiTheme="minorHAnsi" w:cstheme="majorBidi" w:eastAsiaTheme="majorEastAsia" w:hAnsiTheme="minorHAnsi"/>
      <w:i w:val="1"/>
      <w:iCs w:val="1"/>
      <w:color w:val="272727" w:themeColor="text1" w:themeTint="0000D8"/>
      <w:kern w:val="2"/>
      <w:sz w:val="24"/>
      <w:szCs w:val="24"/>
    </w:rPr>
  </w:style>
  <w:style w:type="paragraph" w:styleId="Heading9">
    <w:name w:val="heading 9"/>
    <w:basedOn w:val="Normal"/>
    <w:next w:val="Normal"/>
    <w:link w:val="Heading9Char"/>
    <w:uiPriority w:val="9"/>
    <w:semiHidden w:val="1"/>
    <w:unhideWhenUsed w:val="1"/>
    <w:qFormat w:val="1"/>
    <w:rsid w:val="003445AE"/>
    <w:pPr>
      <w:keepNext w:val="1"/>
      <w:keepLines w:val="1"/>
      <w:spacing w:line="259" w:lineRule="auto"/>
      <w:outlineLvl w:val="8"/>
    </w:pPr>
    <w:rPr>
      <w:rFonts w:asciiTheme="minorHAnsi" w:cstheme="majorBidi" w:eastAsiaTheme="majorEastAsia" w:hAnsiTheme="minorHAnsi"/>
      <w:color w:val="272727" w:themeColor="text1" w:themeTint="0000D8"/>
      <w:kern w:val="2"/>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45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445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445AE"/>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3445AE"/>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3445AE"/>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3445AE"/>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3445AE"/>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3445AE"/>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3445AE"/>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3445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445AE"/>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3445AE"/>
    <w:pPr>
      <w:spacing w:after="160" w:before="160" w:line="259" w:lineRule="auto"/>
      <w:jc w:val="center"/>
    </w:pPr>
    <w:rPr>
      <w:rFonts w:ascii="Times New Roman" w:cs="Times New Roman" w:hAnsi="Times New Roman" w:eastAsiaTheme="minorHAnsi"/>
      <w:i w:val="1"/>
      <w:iCs w:val="1"/>
      <w:color w:val="404040" w:themeColor="text1" w:themeTint="0000BF"/>
      <w:kern w:val="2"/>
      <w:sz w:val="24"/>
      <w:szCs w:val="24"/>
    </w:rPr>
  </w:style>
  <w:style w:type="character" w:styleId="QuoteChar" w:customStyle="1">
    <w:name w:val="Quote Char"/>
    <w:basedOn w:val="DefaultParagraphFont"/>
    <w:link w:val="Quote"/>
    <w:uiPriority w:val="29"/>
    <w:rsid w:val="003445AE"/>
    <w:rPr>
      <w:i w:val="1"/>
      <w:iCs w:val="1"/>
      <w:color w:val="404040" w:themeColor="text1" w:themeTint="0000BF"/>
    </w:rPr>
  </w:style>
  <w:style w:type="paragraph" w:styleId="ListParagraph">
    <w:name w:val="List Paragraph"/>
    <w:basedOn w:val="Normal"/>
    <w:uiPriority w:val="34"/>
    <w:qFormat w:val="1"/>
    <w:rsid w:val="003445AE"/>
    <w:pPr>
      <w:spacing w:after="160" w:line="259" w:lineRule="auto"/>
      <w:ind w:left="720"/>
      <w:contextualSpacing w:val="1"/>
    </w:pPr>
    <w:rPr>
      <w:rFonts w:ascii="Times New Roman" w:cs="Times New Roman" w:hAnsi="Times New Roman" w:eastAsiaTheme="minorHAnsi"/>
      <w:kern w:val="2"/>
      <w:sz w:val="24"/>
      <w:szCs w:val="24"/>
    </w:rPr>
  </w:style>
  <w:style w:type="character" w:styleId="IntenseEmphasis">
    <w:name w:val="Intense Emphasis"/>
    <w:basedOn w:val="DefaultParagraphFont"/>
    <w:uiPriority w:val="21"/>
    <w:qFormat w:val="1"/>
    <w:rsid w:val="003445AE"/>
    <w:rPr>
      <w:i w:val="1"/>
      <w:iCs w:val="1"/>
      <w:color w:val="0f4761" w:themeColor="accent1" w:themeShade="0000BF"/>
    </w:rPr>
  </w:style>
  <w:style w:type="paragraph" w:styleId="IntenseQuote">
    <w:name w:val="Intense Quote"/>
    <w:basedOn w:val="Normal"/>
    <w:next w:val="Normal"/>
    <w:link w:val="IntenseQuoteChar"/>
    <w:uiPriority w:val="30"/>
    <w:qFormat w:val="1"/>
    <w:rsid w:val="003445AE"/>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Times New Roman" w:cs="Times New Roman" w:hAnsi="Times New Roman" w:eastAsiaTheme="minorHAnsi"/>
      <w:i w:val="1"/>
      <w:iCs w:val="1"/>
      <w:color w:val="0f4761" w:themeColor="accent1" w:themeShade="0000BF"/>
      <w:kern w:val="2"/>
      <w:sz w:val="24"/>
      <w:szCs w:val="24"/>
    </w:rPr>
  </w:style>
  <w:style w:type="character" w:styleId="IntenseQuoteChar" w:customStyle="1">
    <w:name w:val="Intense Quote Char"/>
    <w:basedOn w:val="DefaultParagraphFont"/>
    <w:link w:val="IntenseQuote"/>
    <w:uiPriority w:val="30"/>
    <w:rsid w:val="003445AE"/>
    <w:rPr>
      <w:i w:val="1"/>
      <w:iCs w:val="1"/>
      <w:color w:val="0f4761" w:themeColor="accent1" w:themeShade="0000BF"/>
    </w:rPr>
  </w:style>
  <w:style w:type="character" w:styleId="IntenseReference">
    <w:name w:val="Intense Reference"/>
    <w:basedOn w:val="DefaultParagraphFont"/>
    <w:uiPriority w:val="32"/>
    <w:qFormat w:val="1"/>
    <w:rsid w:val="003445AE"/>
    <w:rPr>
      <w:b w:val="1"/>
      <w:bCs w:val="1"/>
      <w:smallCaps w:val="1"/>
      <w:color w:val="0f4761" w:themeColor="accent1" w:themeShade="0000BF"/>
      <w:spacing w:val="5"/>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swald-regular.ttf"/><Relationship Id="rId4"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pTw+Xuv/USZVU3kCxTzCB7v1A==">CgMxLjA4AHIhMUVNU05QZFBSbmlhX1FCTE9Cai1Dc3ZfcjdERUZBRjBl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2025-11-12T20:27:00Z</dcterms:created>
  <dc:creator>Lori Love</dc:creator>
</cp:coreProperties>
</file>