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pageBreakBefore w:val="0"/>
        <w:rPr>
          <w:rFonts w:ascii="Open Sans" w:cs="Open Sans" w:eastAsia="Open Sans" w:hAnsi="Open Sans"/>
          <w:sz w:val="30"/>
          <w:szCs w:val="30"/>
        </w:rPr>
      </w:pPr>
      <w:bookmarkStart w:colFirst="0" w:colLast="0" w:name="_30j0zll" w:id="0"/>
      <w:bookmarkEnd w:id="0"/>
      <w:r w:rsidDel="00000000" w:rsidR="00000000" w:rsidRPr="00000000">
        <w:rPr>
          <w:rFonts w:ascii="Open Sans" w:cs="Open Sans" w:eastAsia="Open Sans" w:hAnsi="Open Sans"/>
          <w:sz w:val="30"/>
          <w:szCs w:val="30"/>
          <w:rtl w:val="0"/>
        </w:rPr>
        <w:t xml:space="preserve">Item 1: Cover Page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jc w:val="cente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jc w:val="cente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jc w:val="cente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jc w:val="cente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jc w:val="cente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jc w:val="cente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jc w:val="center"/>
        <w:rPr>
          <w:rFonts w:ascii="Open Sans" w:cs="Open Sans" w:eastAsia="Open Sans" w:hAnsi="Open Sans"/>
          <w:sz w:val="34"/>
          <w:szCs w:val="34"/>
        </w:rPr>
      </w:pPr>
      <w:r w:rsidDel="00000000" w:rsidR="00000000" w:rsidRPr="00000000">
        <w:rPr>
          <w:rFonts w:ascii="Open Sans" w:cs="Open Sans" w:eastAsia="Open Sans" w:hAnsi="Open Sans"/>
          <w:sz w:val="34"/>
          <w:szCs w:val="34"/>
          <w:rtl w:val="0"/>
        </w:rPr>
        <w:t xml:space="preserve">Mende Financial Council, Inc.</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pacing w:after="0" w:lineRule="auto"/>
        <w:jc w:val="cente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1127 Lincoln Ave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pacing w:after="0" w:lineRule="auto"/>
        <w:jc w:val="cente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Pacific Grove, CA 93950</w:t>
      </w:r>
    </w:p>
    <w:p w:rsidR="00000000" w:rsidDel="00000000" w:rsidP="00000000" w:rsidRDefault="00000000" w:rsidRPr="00000000" w14:paraId="0000000B">
      <w:pPr>
        <w:spacing w:line="240" w:lineRule="auto"/>
        <w:jc w:val="cente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(925)519-3341</w:t>
      </w:r>
    </w:p>
    <w:p w:rsidR="00000000" w:rsidDel="00000000" w:rsidP="00000000" w:rsidRDefault="00000000" w:rsidRPr="00000000" w14:paraId="0000000C">
      <w:pPr>
        <w:spacing w:after="0" w:lineRule="auto"/>
        <w:jc w:val="center"/>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pacing w:after="0" w:lineRule="auto"/>
        <w:jc w:val="center"/>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pacing w:before="240" w:lineRule="auto"/>
        <w:jc w:val="center"/>
        <w:rPr>
          <w:rFonts w:ascii="Open Sans" w:cs="Open Sans" w:eastAsia="Open Sans" w:hAnsi="Open Sans"/>
          <w:b w:val="1"/>
          <w:sz w:val="30"/>
          <w:szCs w:val="30"/>
        </w:rPr>
      </w:pPr>
      <w:r w:rsidDel="00000000" w:rsidR="00000000" w:rsidRPr="00000000">
        <w:rPr>
          <w:rFonts w:ascii="Open Sans" w:cs="Open Sans" w:eastAsia="Open Sans" w:hAnsi="Open Sans"/>
          <w:b w:val="1"/>
          <w:sz w:val="30"/>
          <w:szCs w:val="30"/>
          <w:rtl w:val="0"/>
        </w:rPr>
        <w:t xml:space="preserve">Form ADV Part 2A – Firm Brochure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Dated: </w:t>
      </w:r>
      <w:r w:rsidDel="00000000" w:rsidR="00000000" w:rsidRPr="00000000">
        <w:rPr>
          <w:rFonts w:ascii="Open Sans" w:cs="Open Sans" w:eastAsia="Open Sans" w:hAnsi="Open Sans"/>
          <w:sz w:val="30"/>
          <w:szCs w:val="30"/>
          <w:highlight w:val="yellow"/>
          <w:rtl w:val="0"/>
        </w:rPr>
        <w:t xml:space="preserve">April 10,</w:t>
      </w:r>
      <w:r w:rsidDel="00000000" w:rsidR="00000000" w:rsidRPr="00000000">
        <w:rPr>
          <w:rFonts w:ascii="Open Sans" w:cs="Open Sans" w:eastAsia="Open Sans" w:hAnsi="Open Sans"/>
          <w:sz w:val="30"/>
          <w:szCs w:val="30"/>
          <w:rtl w:val="0"/>
        </w:rPr>
        <w:t xml:space="preserve"> 2025</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sz w:val="30"/>
          <w:szCs w:val="3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sz w:val="30"/>
          <w:szCs w:val="3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sz w:val="30"/>
          <w:szCs w:val="3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pacing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pacing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This Brochure provides information about the qualifications and business practices of Mende Financial Council, Inc.. If you have any questions about the contents of this Brochure, please contact us at (925)519-3341 </w:t>
      </w:r>
      <w:r w:rsidDel="00000000" w:rsidR="00000000" w:rsidRPr="00000000">
        <w:rPr>
          <w:rFonts w:ascii="Open Sans" w:cs="Open Sans" w:eastAsia="Open Sans" w:hAnsi="Open Sans"/>
          <w:sz w:val="20"/>
          <w:szCs w:val="20"/>
          <w:rtl w:val="0"/>
        </w:rPr>
        <w:t xml:space="preserve">and/or </w:t>
      </w:r>
      <w:r w:rsidDel="00000000" w:rsidR="00000000" w:rsidRPr="00000000">
        <w:rPr>
          <w:rFonts w:ascii="Open Sans" w:cs="Open Sans" w:eastAsia="Open Sans" w:hAnsi="Open Sans"/>
          <w:sz w:val="20"/>
          <w:szCs w:val="20"/>
          <w:rtl w:val="0"/>
        </w:rPr>
        <w:t xml:space="preserve">ryan@mendefinancial.com</w:t>
      </w:r>
      <w:r w:rsidDel="00000000" w:rsidR="00000000" w:rsidRPr="00000000">
        <w:rPr>
          <w:rFonts w:ascii="Open Sans" w:cs="Open Sans" w:eastAsia="Open Sans" w:hAnsi="Open Sans"/>
          <w:sz w:val="20"/>
          <w:szCs w:val="20"/>
          <w:rtl w:val="0"/>
        </w:rPr>
        <w:t xml:space="preserve">. The information in this Brochure has not been approved or verified by the United States Securities and Exchange Commission or by any state securities authority.  </w:t>
      </w:r>
    </w:p>
    <w:p w:rsidR="00000000" w:rsidDel="00000000" w:rsidP="00000000" w:rsidRDefault="00000000" w:rsidRPr="00000000" w14:paraId="00000016">
      <w:pPr>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Mende Financial Council, Inc. is a registered investment adviser. Registration does not imply a certain level of skill or training.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Additional information about Mende Financial Council, Inc. also is available on the SEC’s website at </w:t>
      </w:r>
      <w:hyperlink r:id="rId6">
        <w:r w:rsidDel="00000000" w:rsidR="00000000" w:rsidRPr="00000000">
          <w:rPr>
            <w:rFonts w:ascii="Open Sans" w:cs="Open Sans" w:eastAsia="Open Sans" w:hAnsi="Open Sans"/>
            <w:color w:val="0563c1"/>
            <w:sz w:val="20"/>
            <w:szCs w:val="20"/>
            <w:u w:val="single"/>
            <w:rtl w:val="0"/>
          </w:rPr>
          <w:t xml:space="preserve">www.adviserinfo.sec.gov</w:t>
        </w:r>
      </w:hyperlink>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sz w:val="20"/>
          <w:szCs w:val="20"/>
          <w:rtl w:val="0"/>
        </w:rPr>
        <w:t xml:space="preserve"> which can be found using the firm’s identification number, 335136.</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pacing w:line="240" w:lineRule="auto"/>
        <w:jc w:val="both"/>
        <w:rPr>
          <w:rFonts w:ascii="Open Sans" w:cs="Open Sans" w:eastAsia="Open Sans" w:hAnsi="Open Sans"/>
          <w:sz w:val="20"/>
          <w:szCs w:val="20"/>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0" w:footer="720"/>
          <w:pgNumType w:start="1"/>
        </w:sectPr>
      </w:pPr>
      <w:r w:rsidDel="00000000" w:rsidR="00000000" w:rsidRPr="00000000">
        <w:rPr>
          <w:rtl w:val="0"/>
        </w:rPr>
      </w:r>
    </w:p>
    <w:p w:rsidR="00000000" w:rsidDel="00000000" w:rsidP="00000000" w:rsidRDefault="00000000" w:rsidRPr="00000000" w14:paraId="00000019">
      <w:pPr>
        <w:pStyle w:val="Heading1"/>
        <w:pageBreakBefore w:val="0"/>
        <w:rPr>
          <w:rFonts w:ascii="Open Sans" w:cs="Open Sans" w:eastAsia="Open Sans" w:hAnsi="Open Sans"/>
          <w:sz w:val="30"/>
          <w:szCs w:val="30"/>
        </w:rPr>
      </w:pPr>
      <w:bookmarkStart w:colFirst="0" w:colLast="0" w:name="_1fob9te" w:id="1"/>
      <w:bookmarkEnd w:id="1"/>
      <w:r w:rsidDel="00000000" w:rsidR="00000000" w:rsidRPr="00000000">
        <w:rPr>
          <w:rFonts w:ascii="Open Sans" w:cs="Open Sans" w:eastAsia="Open Sans" w:hAnsi="Open Sans"/>
          <w:sz w:val="30"/>
          <w:szCs w:val="30"/>
          <w:rtl w:val="0"/>
        </w:rPr>
        <w:t xml:space="preserve">Item 2: Material Changes</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pacing w:after="20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Since this is the first filing of the Form ADV Part 2A for </w:t>
      </w:r>
      <w:r w:rsidDel="00000000" w:rsidR="00000000" w:rsidRPr="00000000">
        <w:rPr>
          <w:rFonts w:ascii="Open Sans" w:cs="Open Sans" w:eastAsia="Open Sans" w:hAnsi="Open Sans"/>
          <w:sz w:val="20"/>
          <w:szCs w:val="20"/>
          <w:rtl w:val="0"/>
        </w:rPr>
        <w:t xml:space="preserve">Mende Financial Council, Inc.</w:t>
      </w:r>
      <w:r w:rsidDel="00000000" w:rsidR="00000000" w:rsidRPr="00000000">
        <w:rPr>
          <w:rFonts w:ascii="Open Sans" w:cs="Open Sans" w:eastAsia="Open Sans" w:hAnsi="Open Sans"/>
          <w:sz w:val="20"/>
          <w:szCs w:val="20"/>
          <w:rtl w:val="0"/>
        </w:rPr>
        <w:t xml:space="preserve">, there are no material changes to report. In the future, any material changes made during the year will be reported here.</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pacing w:after="0" w:line="240" w:lineRule="auto"/>
        <w:ind w:left="0" w:firstLine="0"/>
        <w:jc w:val="both"/>
        <w:rPr>
          <w:rFonts w:ascii="Open Sans" w:cs="Open Sans" w:eastAsia="Open Sans" w:hAnsi="Open Sans"/>
          <w:color w:val="0070c0"/>
          <w:sz w:val="20"/>
          <w:szCs w:val="2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rPr>
          <w:rFonts w:ascii="Open Sans" w:cs="Open Sans" w:eastAsia="Open Sans" w:hAnsi="Open Sans"/>
          <w:color w:val="0070c0"/>
          <w:sz w:val="20"/>
          <w:szCs w:val="2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7">
      <w:pPr>
        <w:pStyle w:val="Heading1"/>
        <w:pageBreakBefore w:val="0"/>
        <w:rPr>
          <w:rFonts w:ascii="Open Sans" w:cs="Open Sans" w:eastAsia="Open Sans" w:hAnsi="Open Sans"/>
          <w:sz w:val="30"/>
          <w:szCs w:val="30"/>
        </w:rPr>
        <w:sectPr>
          <w:type w:val="continuous"/>
          <w:pgSz w:h="15840" w:w="12240" w:orient="portrait"/>
          <w:pgMar w:bottom="1440" w:top="1440" w:left="1080" w:right="1080" w:header="0" w:footer="720"/>
        </w:sectPr>
      </w:pPr>
      <w:bookmarkStart w:colFirst="0" w:colLast="0" w:name="_3znysh7" w:id="2"/>
      <w:bookmarkEnd w:id="2"/>
      <w:r w:rsidDel="00000000" w:rsidR="00000000" w:rsidRPr="00000000">
        <w:rPr>
          <w:rtl w:val="0"/>
        </w:rPr>
      </w:r>
    </w:p>
    <w:p w:rsidR="00000000" w:rsidDel="00000000" w:rsidP="00000000" w:rsidRDefault="00000000" w:rsidRPr="00000000" w14:paraId="00000028">
      <w:pPr>
        <w:pStyle w:val="Heading1"/>
        <w:pageBreakBefore w:val="0"/>
        <w:rPr>
          <w:rFonts w:ascii="Open Sans" w:cs="Open Sans" w:eastAsia="Open Sans" w:hAnsi="Open Sans"/>
          <w:sz w:val="26"/>
          <w:szCs w:val="26"/>
        </w:rPr>
      </w:pPr>
      <w:bookmarkStart w:colFirst="0" w:colLast="0" w:name="_vk0vakfr9xmj" w:id="3"/>
      <w:bookmarkEnd w:id="3"/>
      <w:r w:rsidDel="00000000" w:rsidR="00000000" w:rsidRPr="00000000">
        <w:rPr>
          <w:rFonts w:ascii="Open Sans" w:cs="Open Sans" w:eastAsia="Open Sans" w:hAnsi="Open Sans"/>
          <w:sz w:val="30"/>
          <w:szCs w:val="30"/>
          <w:rtl w:val="0"/>
        </w:rPr>
        <w:t xml:space="preserve">Item 3: 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30j0zll">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1: Cover Page</w:t>
              <w:tab/>
              <w:t xml:space="preserve">1</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1fob9te">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2: Material Changes</w:t>
              <w:tab/>
              <w:t xml:space="preserve">2</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vk0vakfr9xmj">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3: Table of Contents</w:t>
              <w:tab/>
              <w:t xml:space="preserve">3</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s93l8axmy3gt">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4: Advisory Business</w:t>
              <w:tab/>
              <w:t xml:space="preserve">4</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xefj2c6tis78">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5: Fees and Compensation</w:t>
              <w:tab/>
              <w:t xml:space="preserve">5</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4d28yrnflpjb">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6: Performance-Based Fees and Side-By-Side Management</w:t>
              <w:tab/>
              <w:t xml:space="preserve">6</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pxzlc71texvj">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7: Types of Clients</w:t>
              <w:tab/>
              <w:t xml:space="preserve">7</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4k6oi5o84lu1">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8: Methods of Analysis, Investment Strategies, and Risk of Loss</w:t>
              <w:tab/>
              <w:t xml:space="preserve">7</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9fp5iwjo7hlx">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9: Disciplinary Information</w:t>
              <w:tab/>
              <w:t xml:space="preserve">10</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stct1vijj8f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10: Other Financial Industry Activities and Affiliations</w:t>
              <w:tab/>
              <w:t xml:space="preserve">11</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kk9d1pe5mb88">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11: Code of Ethics, Participation or Interest in Client Transactions and Personal Trading</w:t>
              <w:tab/>
              <w:t xml:space="preserve">11</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dkhftn3y4ax1">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12: Brokerage Practices</w:t>
              <w:tab/>
              <w:t xml:space="preserve">12</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ljzbnsrc1asl">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13: Review of Accounts</w:t>
              <w:tab/>
              <w:t xml:space="preserve">14</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7715bl8s1no">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14: Client Referrals and Other Compensation</w:t>
              <w:tab/>
              <w:t xml:space="preserve">14</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xf2y82yurozf">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15: Custody</w:t>
              <w:tab/>
              <w:t xml:space="preserve">14</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i93ds5cjxv9u">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16: Investment Discretion</w:t>
              <w:tab/>
              <w:t xml:space="preserve">15</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30bxhe3kf8bb">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17: Voting Client Securities</w:t>
              <w:tab/>
              <w:t xml:space="preserve">15</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gdfhkkgpqzvb">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18: Financial Information</w:t>
              <w:tab/>
              <w:t xml:space="preserve">15</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23ckvvd">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Item 19: Requirements for State-Registered Advisers</w:t>
              <w:tab/>
              <w:t xml:space="preserve">15</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32hioqz">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Form ADV Part 2B – Brochure Supplement</w:t>
              <w:tab/>
              <w:t xml:space="preserve">17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tabs>
          <w:tab w:val="right" w:leader="none" w:pos="9350"/>
        </w:tabs>
        <w:spacing w:after="100" w:line="276" w:lineRule="auto"/>
        <w:ind w:left="24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E">
      <w:pPr>
        <w:pStyle w:val="Heading1"/>
        <w:pageBreakBefore w:val="0"/>
        <w:rPr>
          <w:rFonts w:ascii="Open Sans" w:cs="Open Sans" w:eastAsia="Open Sans" w:hAnsi="Open Sans"/>
          <w:sz w:val="50"/>
          <w:szCs w:val="50"/>
        </w:rPr>
        <w:sectPr>
          <w:type w:val="nextPage"/>
          <w:pgSz w:h="15840" w:w="12240" w:orient="portrait"/>
          <w:pgMar w:bottom="1440" w:top="1440" w:left="1080" w:right="1080" w:header="0" w:footer="720"/>
        </w:sectPr>
      </w:pPr>
      <w:bookmarkStart w:colFirst="0" w:colLast="0" w:name="_2et92p0" w:id="4"/>
      <w:bookmarkEnd w:id="4"/>
      <w:r w:rsidDel="00000000" w:rsidR="00000000" w:rsidRPr="00000000">
        <w:rPr>
          <w:rtl w:val="0"/>
        </w:rPr>
      </w:r>
    </w:p>
    <w:p w:rsidR="00000000" w:rsidDel="00000000" w:rsidP="00000000" w:rsidRDefault="00000000" w:rsidRPr="00000000" w14:paraId="0000003F">
      <w:pPr>
        <w:pStyle w:val="Heading1"/>
        <w:pageBreakBefore w:val="0"/>
        <w:spacing w:after="0" w:line="240" w:lineRule="auto"/>
        <w:rPr>
          <w:rFonts w:ascii="Open Sans" w:cs="Open Sans" w:eastAsia="Open Sans" w:hAnsi="Open Sans"/>
          <w:sz w:val="30"/>
          <w:szCs w:val="30"/>
        </w:rPr>
      </w:pPr>
      <w:bookmarkStart w:colFirst="0" w:colLast="0" w:name="_s93l8axmy3gt" w:id="5"/>
      <w:bookmarkEnd w:id="5"/>
      <w:r w:rsidDel="00000000" w:rsidR="00000000" w:rsidRPr="00000000">
        <w:rPr>
          <w:rFonts w:ascii="Open Sans" w:cs="Open Sans" w:eastAsia="Open Sans" w:hAnsi="Open Sans"/>
          <w:sz w:val="30"/>
          <w:szCs w:val="30"/>
          <w:rtl w:val="0"/>
        </w:rPr>
        <w:t xml:space="preserve">Item 4: Advisory Business</w:t>
      </w:r>
    </w:p>
    <w:p w:rsidR="00000000" w:rsidDel="00000000" w:rsidP="00000000" w:rsidRDefault="00000000" w:rsidRPr="00000000" w14:paraId="00000040">
      <w:pPr>
        <w:pageBreakBefore w:val="0"/>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b w:val="1"/>
          <w:u w:val="single"/>
        </w:rPr>
      </w:pPr>
      <w:bookmarkStart w:colFirst="0" w:colLast="0" w:name="_cd4oqd6qyq9d" w:id="6"/>
      <w:bookmarkEnd w:id="6"/>
      <w:r w:rsidDel="00000000" w:rsidR="00000000" w:rsidRPr="00000000">
        <w:rPr>
          <w:rFonts w:ascii="Open Sans" w:cs="Open Sans" w:eastAsia="Open Sans" w:hAnsi="Open Sans"/>
          <w:b w:val="1"/>
          <w:u w:val="single"/>
          <w:rtl w:val="0"/>
        </w:rPr>
        <w:t xml:space="preserve">Description of Advisory Firm</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b w:val="1"/>
        </w:rPr>
      </w:pPr>
      <w:bookmarkStart w:colFirst="0" w:colLast="0" w:name="_22erd1wths2u" w:id="7"/>
      <w:bookmarkEnd w:id="7"/>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Mende Financial Council, Inc. is an Investment Adviser principally located in the state of California. We are a </w:t>
      </w:r>
      <w:r w:rsidDel="00000000" w:rsidR="00000000" w:rsidRPr="00000000">
        <w:rPr>
          <w:rFonts w:ascii="Open Sans" w:cs="Open Sans" w:eastAsia="Open Sans" w:hAnsi="Open Sans"/>
          <w:sz w:val="20"/>
          <w:szCs w:val="20"/>
          <w:rtl w:val="0"/>
        </w:rPr>
        <w:t xml:space="preserve">corporation </w:t>
      </w:r>
      <w:r w:rsidDel="00000000" w:rsidR="00000000" w:rsidRPr="00000000">
        <w:rPr>
          <w:rFonts w:ascii="Open Sans" w:cs="Open Sans" w:eastAsia="Open Sans" w:hAnsi="Open Sans"/>
          <w:sz w:val="20"/>
          <w:szCs w:val="20"/>
          <w:rtl w:val="0"/>
        </w:rPr>
        <w:t xml:space="preserve">founded </w:t>
      </w:r>
      <w:r w:rsidDel="00000000" w:rsidR="00000000" w:rsidRPr="00000000">
        <w:rPr>
          <w:rFonts w:ascii="Open Sans" w:cs="Open Sans" w:eastAsia="Open Sans" w:hAnsi="Open Sans"/>
          <w:sz w:val="20"/>
          <w:szCs w:val="20"/>
          <w:rtl w:val="0"/>
        </w:rPr>
        <w:t xml:space="preserve">in</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January 2025. Mende Financial Council, Inc. became registered </w:t>
      </w:r>
      <w:r w:rsidDel="00000000" w:rsidR="00000000" w:rsidRPr="00000000">
        <w:rPr>
          <w:rFonts w:ascii="Open Sans" w:cs="Open Sans" w:eastAsia="Open Sans" w:hAnsi="Open Sans"/>
          <w:sz w:val="20"/>
          <w:szCs w:val="20"/>
          <w:rtl w:val="0"/>
        </w:rPr>
        <w:t xml:space="preserve">in </w:t>
      </w:r>
      <w:r w:rsidDel="00000000" w:rsidR="00000000" w:rsidRPr="00000000">
        <w:rPr>
          <w:rFonts w:ascii="Open Sans" w:cs="Open Sans" w:eastAsia="Open Sans" w:hAnsi="Open Sans"/>
          <w:sz w:val="20"/>
          <w:szCs w:val="20"/>
          <w:rtl w:val="0"/>
        </w:rPr>
        <w:t xml:space="preserve">2025. </w:t>
      </w:r>
      <w:r w:rsidDel="00000000" w:rsidR="00000000" w:rsidRPr="00000000">
        <w:rPr>
          <w:rFonts w:ascii="Open Sans" w:cs="Open Sans" w:eastAsia="Open Sans" w:hAnsi="Open Sans"/>
          <w:sz w:val="20"/>
          <w:szCs w:val="20"/>
          <w:rtl w:val="0"/>
        </w:rPr>
        <w:t xml:space="preserve">Ryan Mende is the principal owner and Chief Compliance Officer (“CCO”). </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5">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used in this brochure, the words “MFC”, "we", "our firm", “Advisor” and "us" refer to Mende Financial Council, Inc. and the words "you", "your" and "Client" refer to you as either a client or prospective client of our firm.</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u w:val="single"/>
        </w:rPr>
      </w:pPr>
      <w:bookmarkStart w:colFirst="0" w:colLast="0" w:name="_80jm4yljaaia" w:id="8"/>
      <w:bookmarkEnd w:id="8"/>
      <w:r w:rsidDel="00000000" w:rsidR="00000000" w:rsidRPr="00000000">
        <w:rPr>
          <w:rFonts w:ascii="Open Sans" w:cs="Open Sans" w:eastAsia="Open Sans" w:hAnsi="Open Sans"/>
          <w:b w:val="1"/>
          <w:u w:val="single"/>
          <w:rtl w:val="0"/>
        </w:rPr>
        <w:t xml:space="preserve">Types of Advisory Services</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b w:val="1"/>
        </w:rPr>
      </w:pPr>
      <w:bookmarkStart w:colFirst="0" w:colLast="0" w:name="_lw3tnetehwlp" w:id="9"/>
      <w:bookmarkEnd w:id="9"/>
      <w:r w:rsidDel="00000000" w:rsidR="00000000" w:rsidRPr="00000000">
        <w:rPr>
          <w:rtl w:val="0"/>
        </w:rPr>
      </w:r>
    </w:p>
    <w:p w:rsidR="00000000" w:rsidDel="00000000" w:rsidP="00000000" w:rsidRDefault="00000000" w:rsidRPr="00000000" w14:paraId="00000049">
      <w:pPr>
        <w:spacing w:after="0" w:line="240" w:lineRule="auto"/>
        <w:jc w:val="both"/>
        <w:rPr>
          <w:rFonts w:ascii="Open Sans" w:cs="Open Sans" w:eastAsia="Open Sans" w:hAnsi="Open Sans"/>
          <w:b w:val="1"/>
        </w:rPr>
      </w:pPr>
      <w:r w:rsidDel="00000000" w:rsidR="00000000" w:rsidRPr="00000000">
        <w:rPr>
          <w:rFonts w:ascii="Open Sans" w:cs="Open Sans" w:eastAsia="Open Sans" w:hAnsi="Open Sans"/>
          <w:sz w:val="20"/>
          <w:szCs w:val="20"/>
          <w:rtl w:val="0"/>
        </w:rPr>
        <w:t xml:space="preserve">MFC is a fee-only firm, meaning the only compensation we receive is from our Clients for our services. From time to time, MFC recommends third-party professionals such as attorneys, accountants, tax advisors, insurance agents, or other financial professionals. Clients are never obligated to utilize any third-party professional we recommend. MFC is not affiliated with nor does MFC receive any compensation from third-party professionals we may recommend.</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b w:val="1"/>
        </w:rPr>
      </w:pPr>
      <w:bookmarkStart w:colFirst="0" w:colLast="0" w:name="_jxi2x38memzs" w:id="10"/>
      <w:bookmarkEnd w:id="10"/>
      <w:r w:rsidDel="00000000" w:rsidR="00000000" w:rsidRPr="00000000">
        <w:rPr>
          <w:rtl w:val="0"/>
        </w:rPr>
      </w:r>
    </w:p>
    <w:p w:rsidR="00000000" w:rsidDel="00000000" w:rsidP="00000000" w:rsidRDefault="00000000" w:rsidRPr="00000000" w14:paraId="0000004B">
      <w:pPr>
        <w:spacing w:after="0"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Wealth Management Services</w:t>
      </w:r>
    </w:p>
    <w:p w:rsidR="00000000" w:rsidDel="00000000" w:rsidP="00000000" w:rsidRDefault="00000000" w:rsidRPr="00000000" w14:paraId="0000004C">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D">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Wealth Management encompasses investment management services and financial planning. Our firm provides continuous advice to a Client regarding the investment of Client funds based on the individual needs of the Client. Through personal discussions in which goals and objectives based on a Client's particular circumstances are established, we develop a Client's personal investment policy or an investment plan with an asset allocation target and create and manage a portfolio based on that policy and allocation targets. We will also review and discuss a Client’s prior investment history, as well as family composition and background. Account supervision is guided by the stated objectives of the Client (e.g., maximum capital appreciation, growth, income, or growth and income), as well as risk tolerance and tax considerations. </w:t>
      </w:r>
    </w:p>
    <w:p w:rsidR="00000000" w:rsidDel="00000000" w:rsidP="00000000" w:rsidRDefault="00000000" w:rsidRPr="00000000" w14:paraId="0000004E">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4F">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primarily advise our Clients regarding investments in stocks, bonds, mutual funds, ETFs, U.S. government and municipal securities, and cash and cash equivalents. We may also provide advice regarding investments held in Client’s portfolio at the inception of our advisory relationship and/or other investment types not listed above, at the Client’s request.</w:t>
      </w:r>
    </w:p>
    <w:p w:rsidR="00000000" w:rsidDel="00000000" w:rsidP="00000000" w:rsidRDefault="00000000" w:rsidRPr="00000000" w14:paraId="00000050">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1">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When we provide investment management services, Clients grant us limited authority to buy and sell securities on a</w:t>
      </w:r>
      <w:r w:rsidDel="00000000" w:rsidR="00000000" w:rsidRPr="00000000">
        <w:rPr>
          <w:rFonts w:ascii="Open Sans" w:cs="Open Sans" w:eastAsia="Open Sans" w:hAnsi="Open Sans"/>
          <w:sz w:val="20"/>
          <w:szCs w:val="20"/>
          <w:rtl w:val="0"/>
        </w:rPr>
        <w:t xml:space="preserve"> discretionary basis</w:t>
      </w:r>
      <w:r w:rsidDel="00000000" w:rsidR="00000000" w:rsidRPr="00000000">
        <w:rPr>
          <w:rFonts w:ascii="Open Sans" w:cs="Open Sans" w:eastAsia="Open Sans" w:hAnsi="Open Sans"/>
          <w:sz w:val="20"/>
          <w:szCs w:val="20"/>
          <w:rtl w:val="0"/>
        </w:rPr>
        <w:t xml:space="preserve">. More information on our trading authority is explained in </w:t>
      </w:r>
      <w:r w:rsidDel="00000000" w:rsidR="00000000" w:rsidRPr="00000000">
        <w:rPr>
          <w:rFonts w:ascii="Open Sans" w:cs="Open Sans" w:eastAsia="Open Sans" w:hAnsi="Open Sans"/>
          <w:sz w:val="20"/>
          <w:szCs w:val="20"/>
          <w:rtl w:val="0"/>
        </w:rPr>
        <w:t xml:space="preserve">Item 16</w:t>
      </w:r>
      <w:r w:rsidDel="00000000" w:rsidR="00000000" w:rsidRPr="00000000">
        <w:rPr>
          <w:rFonts w:ascii="Open Sans" w:cs="Open Sans" w:eastAsia="Open Sans" w:hAnsi="Open Sans"/>
          <w:sz w:val="20"/>
          <w:szCs w:val="20"/>
          <w:rtl w:val="0"/>
        </w:rPr>
        <w:t xml:space="preserve"> of this Brochure. Clients may impose reasonable restrictions in writing on investing in certain securities, types of securities, or industry sectors.</w:t>
      </w:r>
    </w:p>
    <w:p w:rsidR="00000000" w:rsidDel="00000000" w:rsidP="00000000" w:rsidRDefault="00000000" w:rsidRPr="00000000" w14:paraId="00000052">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3">
      <w:pPr>
        <w:spacing w:after="0" w:line="240" w:lineRule="auto"/>
        <w:jc w:val="both"/>
        <w:rPr>
          <w:rFonts w:ascii="Open Sans" w:cs="Open Sans" w:eastAsia="Open Sans" w:hAnsi="Open Sans"/>
          <w:sz w:val="20"/>
          <w:szCs w:val="20"/>
        </w:rPr>
      </w:pPr>
      <w:bookmarkStart w:colFirst="0" w:colLast="0" w:name="_1t3h5sf" w:id="11"/>
      <w:bookmarkEnd w:id="11"/>
      <w:r w:rsidDel="00000000" w:rsidR="00000000" w:rsidRPr="00000000">
        <w:rPr>
          <w:rFonts w:ascii="Open Sans" w:cs="Open Sans" w:eastAsia="Open Sans" w:hAnsi="Open Sans"/>
          <w:sz w:val="20"/>
          <w:szCs w:val="20"/>
          <w:rtl w:val="0"/>
        </w:rPr>
        <w:t xml:space="preserve">At no additional fee and at Client’s election,</w:t>
      </w:r>
      <w:r w:rsidDel="00000000" w:rsidR="00000000" w:rsidRPr="00000000">
        <w:rPr>
          <w:rFonts w:ascii="Open Sans" w:cs="Open Sans" w:eastAsia="Open Sans" w:hAnsi="Open Sans"/>
          <w:sz w:val="20"/>
          <w:szCs w:val="20"/>
          <w:rtl w:val="0"/>
        </w:rPr>
        <w:t xml:space="preserve"> MFC also provides the Client with a financial plan. A Client will be taken through establishing their goals and values around money. Clients will be required to provide pertinent information to help complete the following areas of analysis: net worth, cash flow, credit scores/reports, employee benefits, retirement planning, insurance, investments, college planning, and estate planning. Once the Client's information is reviewed, their plan will be built and analyzed, and then the findings, analysis and potential changes to their current situation will be reviewed with the Client. Clients will receive a detailed financial plan designed to help achieve Client’s stated financial goals and objectives. The plan and the Client's financial situation and goals will be monitored throughout the year.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b w:val="1"/>
          <w:color w:val="ff0000"/>
        </w:rPr>
      </w:pPr>
      <w:r w:rsidDel="00000000" w:rsidR="00000000" w:rsidRPr="00000000">
        <w:rPr>
          <w:rtl w:val="0"/>
        </w:rPr>
      </w:r>
    </w:p>
    <w:p w:rsidR="00000000" w:rsidDel="00000000" w:rsidP="00000000" w:rsidRDefault="00000000" w:rsidRPr="00000000" w14:paraId="00000055">
      <w:pPr>
        <w:pageBreakBefore w:val="0"/>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When appropriate, we utilize the services of third-party investment advisers (“Outside Managers”) to assist with the management of Client accounts. We assist Clients in completing the Outside Managers’ investor profile questionnaire, selecting an appropriate asset allocation model, interacting with the Outside Managers and conducting an ongoing review of the Outside Managers’ investment offerings and investment selection. Our review process and analysis of Outside Managers is further discussed in </w:t>
      </w:r>
      <w:r w:rsidDel="00000000" w:rsidR="00000000" w:rsidRPr="00000000">
        <w:rPr>
          <w:rFonts w:ascii="Open Sans" w:cs="Open Sans" w:eastAsia="Open Sans" w:hAnsi="Open Sans"/>
          <w:sz w:val="20"/>
          <w:szCs w:val="20"/>
          <w:rtl w:val="0"/>
        </w:rPr>
        <w:t xml:space="preserve">Item 8</w:t>
      </w:r>
      <w:r w:rsidDel="00000000" w:rsidR="00000000" w:rsidRPr="00000000">
        <w:rPr>
          <w:rFonts w:ascii="Open Sans" w:cs="Open Sans" w:eastAsia="Open Sans" w:hAnsi="Open Sans"/>
          <w:sz w:val="20"/>
          <w:szCs w:val="20"/>
          <w:rtl w:val="0"/>
        </w:rPr>
        <w:t xml:space="preserve"> of this Brochure. Additionally, we will meet with the Client on a periodic basis to discuss changes in their personal or financial situation, suitability, and any new or revised restrictions to be applied to the account.</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Open Sans" w:cs="Open Sans" w:eastAsia="Open Sans" w:hAnsi="Open Sans"/>
          <w:b w:val="1"/>
          <w:i w:val="1"/>
        </w:rPr>
      </w:pPr>
      <w:r w:rsidDel="00000000" w:rsidR="00000000" w:rsidRPr="00000000">
        <w:rPr>
          <w:rFonts w:ascii="Open Sans" w:cs="Open Sans" w:eastAsia="Open Sans" w:hAnsi="Open Sans"/>
          <w:b w:val="1"/>
          <w:i w:val="1"/>
          <w:rtl w:val="0"/>
        </w:rPr>
        <w:t xml:space="preserve">Altruist Model Marketplace</w:t>
      </w:r>
    </w:p>
    <w:p w:rsidR="00000000" w:rsidDel="00000000" w:rsidP="00000000" w:rsidRDefault="00000000" w:rsidRPr="00000000" w14:paraId="00000058">
      <w:pPr>
        <w:widowControl w:val="0"/>
        <w:spacing w:after="0" w:before="282.01141357421875" w:line="229.90779876708984" w:lineRule="auto"/>
        <w:ind w:left="720" w:firstLine="0"/>
        <w:jc w:val="both"/>
        <w:rPr>
          <w:rFonts w:ascii="Open Sans" w:cs="Open Sans" w:eastAsia="Open Sans" w:hAnsi="Open Sans"/>
          <w:b w:val="1"/>
        </w:rPr>
      </w:pPr>
      <w:r w:rsidDel="00000000" w:rsidR="00000000" w:rsidRPr="00000000">
        <w:rPr>
          <w:rFonts w:ascii="Open Sans" w:cs="Open Sans" w:eastAsia="Open Sans" w:hAnsi="Open Sans"/>
          <w:color w:val="111111"/>
          <w:sz w:val="20"/>
          <w:szCs w:val="20"/>
          <w:rtl w:val="0"/>
        </w:rPr>
        <w:t xml:space="preserve">MFC</w:t>
      </w:r>
      <w:r w:rsidDel="00000000" w:rsidR="00000000" w:rsidRPr="00000000">
        <w:rPr>
          <w:rFonts w:ascii="Open Sans" w:cs="Open Sans" w:eastAsia="Open Sans" w:hAnsi="Open Sans"/>
          <w:sz w:val="20"/>
          <w:szCs w:val="20"/>
          <w:rtl w:val="0"/>
        </w:rPr>
        <w:t xml:space="preserve"> participates in the Model Marketplace of Altruist LLC, an SEC registered investment adviser and affiliate of Altruist Financial LLC, CRD No. 299398. </w:t>
      </w:r>
      <w:r w:rsidDel="00000000" w:rsidR="00000000" w:rsidRPr="00000000">
        <w:rPr>
          <w:rFonts w:ascii="Open Sans" w:cs="Open Sans" w:eastAsia="Open Sans" w:hAnsi="Open Sans"/>
          <w:color w:val="111111"/>
          <w:sz w:val="20"/>
          <w:szCs w:val="20"/>
          <w:rtl w:val="0"/>
        </w:rPr>
        <w:t xml:space="preserve">MFC</w:t>
      </w:r>
      <w:r w:rsidDel="00000000" w:rsidR="00000000" w:rsidRPr="00000000">
        <w:rPr>
          <w:rFonts w:ascii="Open Sans" w:cs="Open Sans" w:eastAsia="Open Sans" w:hAnsi="Open Sans"/>
          <w:sz w:val="20"/>
          <w:szCs w:val="20"/>
          <w:rtl w:val="0"/>
        </w:rPr>
        <w:t xml:space="preserve"> may subscribe client accounts to model portfolios available through Altruist LLC’s Model Marketplace, including Altruist LLC-generated portfolios and Third-Party Portfolios, for use by MFC to assist it in managing or advising of client accounts. </w:t>
      </w:r>
      <w:r w:rsidDel="00000000" w:rsidR="00000000" w:rsidRPr="00000000">
        <w:rPr>
          <w:rtl w:val="0"/>
        </w:rPr>
      </w:r>
    </w:p>
    <w:p w:rsidR="00000000" w:rsidDel="00000000" w:rsidP="00000000" w:rsidRDefault="00000000" w:rsidRPr="00000000" w14:paraId="00000059">
      <w:pPr>
        <w:pageBreakBefore w:val="0"/>
        <w:spacing w:after="0"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A">
      <w:pPr>
        <w:spacing w:after="0"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CCR Section 260.235.2 Disclosure</w:t>
      </w:r>
    </w:p>
    <w:p w:rsidR="00000000" w:rsidDel="00000000" w:rsidP="00000000" w:rsidRDefault="00000000" w:rsidRPr="00000000" w14:paraId="0000005B">
      <w:pPr>
        <w:spacing w:after="20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For Clients who receive our Financial Planning services, we must state when a conflict exists between the interests of our firm and the interests of our Client. The Client is under no obligation to act upon our recommendation.  If the Client elects to act on any of the recommendations, the Client is under no obligation to effect the transaction through our firm.</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Client Tailored Services and Client Imposed Restrictions</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tailor the delivery of our services to meet the individual needs of our Clients. We consult with Clients initially and on an ongoing basis, through the duration of their engagement with us, to determine risk tolerance, time horizon and other factors that may impact the Clients’ investment and/or planning needs. </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0">
      <w:pPr>
        <w:pageBreakBefore w:val="0"/>
        <w:spacing w:after="0" w:line="240" w:lineRule="auto"/>
        <w:ind w:right="-2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Clients are able to specify, within reason, any restrictions they would like to place as it pertains to individual securities and/or sectors that will be </w:t>
      </w:r>
      <w:r w:rsidDel="00000000" w:rsidR="00000000" w:rsidRPr="00000000">
        <w:rPr>
          <w:rFonts w:ascii="Open Sans" w:cs="Open Sans" w:eastAsia="Open Sans" w:hAnsi="Open Sans"/>
          <w:sz w:val="20"/>
          <w:szCs w:val="20"/>
          <w:rtl w:val="0"/>
        </w:rPr>
        <w:t xml:space="preserve">traded in their account</w:t>
      </w:r>
      <w:r w:rsidDel="00000000" w:rsidR="00000000" w:rsidRPr="00000000">
        <w:rPr>
          <w:rFonts w:ascii="Open Sans" w:cs="Open Sans" w:eastAsia="Open Sans" w:hAnsi="Open Sans"/>
          <w:sz w:val="20"/>
          <w:szCs w:val="20"/>
          <w:rtl w:val="0"/>
        </w:rPr>
        <w:t xml:space="preserve">. All such requests must be provided to </w:t>
      </w:r>
      <w:r w:rsidDel="00000000" w:rsidR="00000000" w:rsidRPr="00000000">
        <w:rPr>
          <w:rFonts w:ascii="Open Sans" w:cs="Open Sans" w:eastAsia="Open Sans" w:hAnsi="Open Sans"/>
          <w:sz w:val="20"/>
          <w:szCs w:val="20"/>
          <w:rtl w:val="0"/>
        </w:rPr>
        <w:t xml:space="preserve">MFC</w:t>
      </w:r>
      <w:r w:rsidDel="00000000" w:rsidR="00000000" w:rsidRPr="00000000">
        <w:rPr>
          <w:rFonts w:ascii="Open Sans" w:cs="Open Sans" w:eastAsia="Open Sans" w:hAnsi="Open Sans"/>
          <w:sz w:val="20"/>
          <w:szCs w:val="20"/>
          <w:rtl w:val="0"/>
        </w:rPr>
        <w:t xml:space="preserve"> in writing. </w:t>
      </w:r>
      <w:r w:rsidDel="00000000" w:rsidR="00000000" w:rsidRPr="00000000">
        <w:rPr>
          <w:rFonts w:ascii="Open Sans" w:cs="Open Sans" w:eastAsia="Open Sans" w:hAnsi="Open Sans"/>
          <w:sz w:val="20"/>
          <w:szCs w:val="20"/>
          <w:rtl w:val="0"/>
        </w:rPr>
        <w:t xml:space="preserve">MFC</w:t>
      </w:r>
      <w:r w:rsidDel="00000000" w:rsidR="00000000" w:rsidRPr="00000000">
        <w:rPr>
          <w:rFonts w:ascii="Open Sans" w:cs="Open Sans" w:eastAsia="Open Sans" w:hAnsi="Open Sans"/>
          <w:sz w:val="20"/>
          <w:szCs w:val="20"/>
          <w:rtl w:val="0"/>
        </w:rPr>
        <w:t xml:space="preserve"> will notify Clients if they are unable to accommodate any requests.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Wrap Fee Programs</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do not participate in wrap fee programs. </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6">
      <w:pPr>
        <w:pageBreakBefore w:val="0"/>
        <w:spacing w:after="0" w:lin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Assets Under Management</w:t>
      </w:r>
    </w:p>
    <w:p w:rsidR="00000000" w:rsidDel="00000000" w:rsidP="00000000" w:rsidRDefault="00000000" w:rsidRPr="00000000" w14:paraId="00000067">
      <w:pPr>
        <w:pageBreakBefore w:val="0"/>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8">
      <w:pPr>
        <w:pageBreakBefore w:val="0"/>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of </w:t>
      </w:r>
      <w:r w:rsidDel="00000000" w:rsidR="00000000" w:rsidRPr="00000000">
        <w:rPr>
          <w:rFonts w:ascii="Open Sans" w:cs="Open Sans" w:eastAsia="Open Sans" w:hAnsi="Open Sans"/>
          <w:sz w:val="20"/>
          <w:szCs w:val="20"/>
          <w:rtl w:val="0"/>
        </w:rPr>
        <w:t xml:space="preserve">March 2025</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MFC</w:t>
      </w:r>
      <w:r w:rsidDel="00000000" w:rsidR="00000000" w:rsidRPr="00000000">
        <w:rPr>
          <w:rFonts w:ascii="Open Sans" w:cs="Open Sans" w:eastAsia="Open Sans" w:hAnsi="Open Sans"/>
          <w:sz w:val="20"/>
          <w:szCs w:val="20"/>
          <w:rtl w:val="0"/>
        </w:rPr>
        <w:t xml:space="preserve"> has $0 in discretionary and $0 in non-discretionary assets under management.</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69">
      <w:pPr>
        <w:pageBreakBefore w:val="0"/>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A">
      <w:pPr>
        <w:pStyle w:val="Heading1"/>
        <w:pageBreakBefore w:val="0"/>
        <w:spacing w:after="0" w:before="0" w:line="240" w:lineRule="auto"/>
        <w:rPr>
          <w:rFonts w:ascii="Open Sans" w:cs="Open Sans" w:eastAsia="Open Sans" w:hAnsi="Open Sans"/>
          <w:sz w:val="30"/>
          <w:szCs w:val="30"/>
        </w:rPr>
      </w:pPr>
      <w:bookmarkStart w:colFirst="0" w:colLast="0" w:name="_xefj2c6tis78" w:id="12"/>
      <w:bookmarkEnd w:id="12"/>
      <w:r w:rsidDel="00000000" w:rsidR="00000000" w:rsidRPr="00000000">
        <w:rPr>
          <w:rFonts w:ascii="Open Sans" w:cs="Open Sans" w:eastAsia="Open Sans" w:hAnsi="Open Sans"/>
          <w:sz w:val="30"/>
          <w:szCs w:val="30"/>
          <w:rtl w:val="0"/>
        </w:rPr>
        <w:t xml:space="preserve">Item 5: Fees and Compensation</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pacing w:after="0" w:before="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Please note, unless a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 has received this b</w:t>
      </w:r>
      <w:r w:rsidDel="00000000" w:rsidR="00000000" w:rsidRPr="00000000">
        <w:rPr>
          <w:rFonts w:ascii="Open Sans" w:cs="Open Sans" w:eastAsia="Open Sans" w:hAnsi="Open Sans"/>
          <w:sz w:val="20"/>
          <w:szCs w:val="20"/>
          <w:rtl w:val="0"/>
        </w:rPr>
        <w:t xml:space="preserve">rochure</w:t>
      </w:r>
      <w:r w:rsidDel="00000000" w:rsidR="00000000" w:rsidRPr="00000000">
        <w:rPr>
          <w:rFonts w:ascii="Open Sans" w:cs="Open Sans" w:eastAsia="Open Sans" w:hAnsi="Open Sans"/>
          <w:sz w:val="20"/>
          <w:szCs w:val="20"/>
          <w:rtl w:val="0"/>
        </w:rPr>
        <w:t xml:space="preserve"> at least 48 hours prior to signing an Advisory Contract, the Advisory Contract may be terminated by the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 within five (5) business days of signing the Advisory Contract without penalty or incurring any fees.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color w:val="1f4e79"/>
          <w:sz w:val="26"/>
          <w:szCs w:val="26"/>
        </w:rPr>
      </w:pPr>
      <w:r w:rsidDel="00000000" w:rsidR="00000000" w:rsidRPr="00000000">
        <w:rPr>
          <w:rFonts w:ascii="Open Sans" w:cs="Open Sans" w:eastAsia="Open Sans" w:hAnsi="Open Sans"/>
          <w:sz w:val="20"/>
          <w:szCs w:val="20"/>
          <w:rtl w:val="0"/>
        </w:rPr>
        <w:t xml:space="preserve">How we are paid depends on the type of advisory services we perform. Below is a brief description of our fees, however, you should review your executed Advisory Contract for more detailed information regarding the exact fees you will be paying. Fees are negotiable and some fees may vary by Client for similar services. No increase to the agreed-upon advisory fees outlined in the Advisory Contract shall occur without prior</w:t>
      </w:r>
      <w:r w:rsidDel="00000000" w:rsidR="00000000" w:rsidRPr="00000000">
        <w:rPr>
          <w:rFonts w:ascii="Open Sans" w:cs="Open Sans" w:eastAsia="Open Sans" w:hAnsi="Open Sans"/>
          <w:color w:val="0070c0"/>
          <w:sz w:val="20"/>
          <w:szCs w:val="20"/>
          <w:rtl w:val="0"/>
        </w:rPr>
        <w:t xml:space="preserve"> </w:t>
      </w:r>
      <w:r w:rsidDel="00000000" w:rsidR="00000000" w:rsidRPr="00000000">
        <w:rPr>
          <w:rFonts w:ascii="Open Sans" w:cs="Open Sans" w:eastAsia="Open Sans" w:hAnsi="Open Sans"/>
          <w:sz w:val="20"/>
          <w:szCs w:val="20"/>
          <w:rtl w:val="0"/>
        </w:rPr>
        <w:t xml:space="preserve">Client consent. </w:t>
      </w:r>
      <w:r w:rsidDel="00000000" w:rsidR="00000000" w:rsidRPr="00000000">
        <w:rPr>
          <w:rFonts w:ascii="Open Sans" w:cs="Open Sans" w:eastAsia="Open Sans" w:hAnsi="Open Sans"/>
          <w:sz w:val="20"/>
          <w:szCs w:val="20"/>
          <w:rtl w:val="0"/>
        </w:rPr>
        <w:t xml:space="preserve">Please note, </w:t>
      </w:r>
      <w:r w:rsidDel="00000000" w:rsidR="00000000" w:rsidRPr="00000000">
        <w:rPr>
          <w:rFonts w:ascii="Open Sans" w:cs="Open Sans" w:eastAsia="Open Sans" w:hAnsi="Open Sans"/>
          <w:sz w:val="20"/>
          <w:szCs w:val="20"/>
          <w:rtl w:val="0"/>
        </w:rPr>
        <w:t xml:space="preserve">lower fees for comparable services may be available from other sources.</w:t>
      </w:r>
      <w:r w:rsidDel="00000000" w:rsidR="00000000" w:rsidRPr="00000000">
        <w:rPr>
          <w:rFonts w:ascii="Open Sans" w:cs="Open Sans" w:eastAsia="Open Sans" w:hAnsi="Open Sans"/>
          <w:sz w:val="20"/>
          <w:szCs w:val="20"/>
          <w:rtl w:val="0"/>
        </w:rPr>
        <w:t xml:space="preserve"> </w:t>
      </w: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pacing w:after="0" w:before="0"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pacing w:after="0" w:before="0" w:lin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Wealth Management Services</w:t>
      </w:r>
      <w:r w:rsidDel="00000000" w:rsidR="00000000" w:rsidRPr="00000000">
        <w:rPr>
          <w:rFonts w:ascii="Open Sans" w:cs="Open Sans" w:eastAsia="Open Sans" w:hAnsi="Open Sans"/>
          <w:b w:val="1"/>
          <w:u w:val="single"/>
          <w:rtl w:val="0"/>
        </w:rPr>
        <w:t xml:space="preserve">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fee is 0.75% of assets under management and is negotiable. The annual advisory fee is paid </w:t>
      </w:r>
      <w:r w:rsidDel="00000000" w:rsidR="00000000" w:rsidRPr="00000000">
        <w:rPr>
          <w:rFonts w:ascii="Open Sans" w:cs="Open Sans" w:eastAsia="Open Sans" w:hAnsi="Open Sans"/>
          <w:sz w:val="20"/>
          <w:szCs w:val="20"/>
          <w:rtl w:val="0"/>
        </w:rPr>
        <w:t xml:space="preserve">quarterly in</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arrears based on</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the average daily balance of the Client’s account(s).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color w:val="0070c0"/>
          <w:sz w:val="20"/>
          <w:szCs w:val="20"/>
        </w:rPr>
      </w:pPr>
      <w:r w:rsidDel="00000000" w:rsidR="00000000" w:rsidRPr="00000000">
        <w:rPr>
          <w:rFonts w:ascii="Open Sans" w:cs="Open Sans" w:eastAsia="Open Sans" w:hAnsi="Open Sans"/>
          <w:sz w:val="20"/>
          <w:szCs w:val="20"/>
          <w:rtl w:val="0"/>
        </w:rPr>
        <w:t xml:space="preserve">MFC</w:t>
      </w:r>
      <w:r w:rsidDel="00000000" w:rsidR="00000000" w:rsidRPr="00000000">
        <w:rPr>
          <w:rFonts w:ascii="Open Sans" w:cs="Open Sans" w:eastAsia="Open Sans" w:hAnsi="Open Sans"/>
          <w:sz w:val="20"/>
          <w:szCs w:val="20"/>
          <w:rtl w:val="0"/>
        </w:rPr>
        <w:t xml:space="preserve"> relies on the valuation as provided by Client’s custodian in determining assets under management. Our advisory fee is prorated for any partial billing periods occurring during the engagement, including the initial and terminating billing periods.</w:t>
      </w:r>
      <w:r w:rsidDel="00000000" w:rsidR="00000000" w:rsidRPr="00000000">
        <w:rPr>
          <w:rtl w:val="0"/>
        </w:rPr>
      </w:r>
    </w:p>
    <w:p w:rsidR="00000000" w:rsidDel="00000000" w:rsidP="00000000" w:rsidRDefault="00000000" w:rsidRPr="00000000" w14:paraId="00000075">
      <w:pPr>
        <w:spacing w:after="0" w:line="240" w:lineRule="auto"/>
        <w:rPr>
          <w:rFonts w:ascii="Open Sans" w:cs="Open Sans" w:eastAsia="Open Sans" w:hAnsi="Open Sans"/>
          <w:b w:val="1"/>
          <w:color w:val="ff0000"/>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highlight w:val="white"/>
        </w:rPr>
      </w:pPr>
      <w:r w:rsidDel="00000000" w:rsidR="00000000" w:rsidRPr="00000000">
        <w:rPr>
          <w:rFonts w:ascii="Open Sans" w:cs="Open Sans" w:eastAsia="Open Sans" w:hAnsi="Open Sans"/>
          <w:sz w:val="20"/>
          <w:szCs w:val="20"/>
          <w:rtl w:val="0"/>
        </w:rPr>
        <w:t xml:space="preserve">I</w:t>
      </w:r>
      <w:r w:rsidDel="00000000" w:rsidR="00000000" w:rsidRPr="00000000">
        <w:rPr>
          <w:rFonts w:ascii="Open Sans" w:cs="Open Sans" w:eastAsia="Open Sans" w:hAnsi="Open Sans"/>
          <w:sz w:val="20"/>
          <w:szCs w:val="20"/>
          <w:rtl w:val="0"/>
        </w:rPr>
        <w:t xml:space="preserve">f </w:t>
      </w:r>
      <w:r w:rsidDel="00000000" w:rsidR="00000000" w:rsidRPr="00000000">
        <w:rPr>
          <w:rFonts w:ascii="Open Sans" w:cs="Open Sans" w:eastAsia="Open Sans" w:hAnsi="Open Sans"/>
          <w:sz w:val="20"/>
          <w:szCs w:val="20"/>
          <w:rtl w:val="0"/>
        </w:rPr>
        <w:t xml:space="preserve">MFC</w:t>
      </w:r>
      <w:r w:rsidDel="00000000" w:rsidR="00000000" w:rsidRPr="00000000">
        <w:rPr>
          <w:rFonts w:ascii="Open Sans" w:cs="Open Sans" w:eastAsia="Open Sans" w:hAnsi="Open Sans"/>
          <w:sz w:val="20"/>
          <w:szCs w:val="20"/>
          <w:rtl w:val="0"/>
        </w:rPr>
        <w:t xml:space="preserve"> utilizes an Outside Manager, the above fee schedule does not include the Outside Manager’s fee. The Outside Manager’s advisory fees, billing schedule, and payment procedures are set forth in their separate written disclosure documents, advisory agreements, and/or the account opening documents of your account Custodian. At no point will the combined fee charged to the Client exceed 2% of assets under management. </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pacing w:after="0" w:before="0"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8">
      <w:pPr>
        <w:spacing w:after="0" w:line="259.20000000000005" w:lineRule="auto"/>
        <w:jc w:val="both"/>
        <w:rPr>
          <w:rFonts w:ascii="Open Sans" w:cs="Open Sans" w:eastAsia="Open Sans" w:hAnsi="Open Sans"/>
          <w:b w:val="1"/>
          <w:color w:val="222222"/>
          <w:highlight w:val="white"/>
          <w:u w:val="single"/>
        </w:rPr>
      </w:pPr>
      <w:r w:rsidDel="00000000" w:rsidR="00000000" w:rsidRPr="00000000">
        <w:rPr>
          <w:rFonts w:ascii="Open Sans" w:cs="Open Sans" w:eastAsia="Open Sans" w:hAnsi="Open Sans"/>
          <w:b w:val="1"/>
          <w:u w:val="single"/>
          <w:rtl w:val="0"/>
        </w:rPr>
        <w:t xml:space="preserve">Fee Payment</w:t>
      </w:r>
      <w:r w:rsidDel="00000000" w:rsidR="00000000" w:rsidRPr="00000000">
        <w:rPr>
          <w:rtl w:val="0"/>
        </w:rPr>
      </w:r>
    </w:p>
    <w:p w:rsidR="00000000" w:rsidDel="00000000" w:rsidP="00000000" w:rsidRDefault="00000000" w:rsidRPr="00000000" w14:paraId="00000079">
      <w:pPr>
        <w:spacing w:after="0" w:line="240" w:lineRule="auto"/>
        <w:jc w:val="both"/>
        <w:rPr>
          <w:rFonts w:ascii="Open Sans" w:cs="Open Sans" w:eastAsia="Open Sans" w:hAnsi="Open Sans"/>
          <w:color w:val="ff0000"/>
          <w:sz w:val="20"/>
          <w:szCs w:val="20"/>
        </w:rPr>
      </w:pPr>
      <w:r w:rsidDel="00000000" w:rsidR="00000000" w:rsidRPr="00000000">
        <w:rPr>
          <w:rtl w:val="0"/>
        </w:rPr>
      </w:r>
    </w:p>
    <w:p w:rsidR="00000000" w:rsidDel="00000000" w:rsidP="00000000" w:rsidRDefault="00000000" w:rsidRPr="00000000" w14:paraId="0000007A">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w:t>
      </w:r>
      <w:r w:rsidDel="00000000" w:rsidR="00000000" w:rsidRPr="00000000">
        <w:rPr>
          <w:rFonts w:ascii="Open Sans" w:cs="Open Sans" w:eastAsia="Open Sans" w:hAnsi="Open Sans"/>
          <w:sz w:val="20"/>
          <w:szCs w:val="20"/>
          <w:rtl w:val="0"/>
        </w:rPr>
        <w:t xml:space="preserve">e deduct our advisory fee from one or more account(s) held at an unaffiliated third-party custodian, as directed by the Client. Please refer to </w:t>
      </w:r>
      <w:r w:rsidDel="00000000" w:rsidR="00000000" w:rsidRPr="00000000">
        <w:rPr>
          <w:rFonts w:ascii="Open Sans" w:cs="Open Sans" w:eastAsia="Open Sans" w:hAnsi="Open Sans"/>
          <w:sz w:val="20"/>
          <w:szCs w:val="20"/>
          <w:rtl w:val="0"/>
        </w:rPr>
        <w:t xml:space="preserve">Item 15</w:t>
      </w:r>
      <w:r w:rsidDel="00000000" w:rsidR="00000000" w:rsidRPr="00000000">
        <w:rPr>
          <w:rFonts w:ascii="Open Sans" w:cs="Open Sans" w:eastAsia="Open Sans" w:hAnsi="Open Sans"/>
          <w:sz w:val="20"/>
          <w:szCs w:val="20"/>
          <w:rtl w:val="0"/>
        </w:rPr>
        <w:t xml:space="preserve"> of this Brochure regarding our policy on direct fee deduction.</w:t>
      </w:r>
      <w:r w:rsidDel="00000000" w:rsidR="00000000" w:rsidRPr="00000000">
        <w:rPr>
          <w:rFonts w:ascii="Open Sans" w:cs="Open Sans" w:eastAsia="Open Sans" w:hAnsi="Open Sans"/>
          <w:sz w:val="20"/>
          <w:szCs w:val="20"/>
          <w:rtl w:val="0"/>
        </w:rPr>
        <w:t xml:space="preserve"> </w:t>
      </w:r>
      <w:r w:rsidDel="00000000" w:rsidR="00000000" w:rsidRPr="00000000">
        <w:rPr>
          <w:rtl w:val="0"/>
        </w:rPr>
      </w:r>
    </w:p>
    <w:p w:rsidR="00000000" w:rsidDel="00000000" w:rsidP="00000000" w:rsidRDefault="00000000" w:rsidRPr="00000000" w14:paraId="0000007B">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C">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When an Outside Manager is used, the Outside Manager will debit the Client’s account for both the Outside Manager’s fee, and MFC’s advisory fee.</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pacing w:after="0" w:before="0" w:line="240" w:lineRule="auto"/>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pacing w:after="0" w:before="0" w:lin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Other Types of Fees and Expenses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color w:val="7030a0"/>
          <w:sz w:val="20"/>
          <w:szCs w:val="20"/>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Our fees are exclusive of brokerage commissions, transaction fees, and other related costs and expenses which may be incurred by the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 Clients may incur certain charges imposed by custodians, brokers, and other third parties such as custodial fees, deferred sales charges, odd-lot differentials, transfer taxes, wire transfer, and electronic fund fees, and other fees and taxes on brokerage accounts and securities transactions. Mutual fund and exchange-traded funds also charge internal management fees, which are disclosed in a fund's prospectus. Such charges, fees, and commissions are exclusive of and in addition to our fee, and we shall not receive any portion of these commissions, fees, and costs.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2">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Item 12 further describes the factors that we consider in selecting or recommending </w:t>
      </w:r>
      <w:r w:rsidDel="00000000" w:rsidR="00000000" w:rsidRPr="00000000">
        <w:rPr>
          <w:rFonts w:ascii="Open Sans" w:cs="Open Sans" w:eastAsia="Open Sans" w:hAnsi="Open Sans"/>
          <w:sz w:val="20"/>
          <w:szCs w:val="20"/>
          <w:rtl w:val="0"/>
        </w:rPr>
        <w:t xml:space="preserve">custodian</w:t>
      </w:r>
      <w:r w:rsidDel="00000000" w:rsidR="00000000" w:rsidRPr="00000000">
        <w:rPr>
          <w:rFonts w:ascii="Open Sans" w:cs="Open Sans" w:eastAsia="Open Sans" w:hAnsi="Open Sans"/>
          <w:sz w:val="20"/>
          <w:szCs w:val="20"/>
          <w:rtl w:val="0"/>
        </w:rPr>
        <w:t xml:space="preserve">s for Client’s transactions and determining the reasonableness of their compensation (e.g., commissions). </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color w:val="00b050"/>
          <w:sz w:val="20"/>
          <w:szCs w:val="20"/>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Clients may incur fees from third-party professionals such as accountants and attorneys that </w:t>
      </w:r>
      <w:r w:rsidDel="00000000" w:rsidR="00000000" w:rsidRPr="00000000">
        <w:rPr>
          <w:rFonts w:ascii="Open Sans" w:cs="Open Sans" w:eastAsia="Open Sans" w:hAnsi="Open Sans"/>
          <w:sz w:val="20"/>
          <w:szCs w:val="20"/>
          <w:rtl w:val="0"/>
        </w:rPr>
        <w:t xml:space="preserve">MFC</w:t>
      </w:r>
      <w:r w:rsidDel="00000000" w:rsidR="00000000" w:rsidRPr="00000000">
        <w:rPr>
          <w:rFonts w:ascii="Open Sans" w:cs="Open Sans" w:eastAsia="Open Sans" w:hAnsi="Open Sans"/>
          <w:sz w:val="20"/>
          <w:szCs w:val="20"/>
          <w:rtl w:val="0"/>
        </w:rPr>
        <w:t xml:space="preserve"> may recommend, upon Client request. Such fees are separate and distinct from </w:t>
      </w:r>
      <w:r w:rsidDel="00000000" w:rsidR="00000000" w:rsidRPr="00000000">
        <w:rPr>
          <w:rFonts w:ascii="Open Sans" w:cs="Open Sans" w:eastAsia="Open Sans" w:hAnsi="Open Sans"/>
          <w:sz w:val="20"/>
          <w:szCs w:val="20"/>
          <w:rtl w:val="0"/>
        </w:rPr>
        <w:t xml:space="preserve">MFC</w:t>
      </w:r>
      <w:r w:rsidDel="00000000" w:rsidR="00000000" w:rsidRPr="00000000">
        <w:rPr>
          <w:rFonts w:ascii="Open Sans" w:cs="Open Sans" w:eastAsia="Open Sans" w:hAnsi="Open Sans"/>
          <w:sz w:val="20"/>
          <w:szCs w:val="20"/>
          <w:rtl w:val="0"/>
        </w:rPr>
        <w:t xml:space="preserve">’s advisory fees.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pacing w:after="0" w:before="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6">
      <w:pPr>
        <w:spacing w:after="0" w:lin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Terminations and Refunds</w:t>
      </w:r>
    </w:p>
    <w:p w:rsidR="00000000" w:rsidDel="00000000" w:rsidP="00000000" w:rsidRDefault="00000000" w:rsidRPr="00000000" w14:paraId="00000087">
      <w:pPr>
        <w:spacing w:after="0" w:line="240" w:lineRule="auto"/>
        <w:jc w:val="both"/>
        <w:rPr>
          <w:rFonts w:ascii="Open Sans" w:cs="Open Sans" w:eastAsia="Open Sans" w:hAnsi="Open Sans"/>
          <w:color w:val="ff0000"/>
          <w:sz w:val="20"/>
          <w:szCs w:val="20"/>
        </w:rPr>
      </w:pPr>
      <w:r w:rsidDel="00000000" w:rsidR="00000000" w:rsidRPr="00000000">
        <w:rPr>
          <w:rtl w:val="0"/>
        </w:rPr>
      </w:r>
    </w:p>
    <w:p w:rsidR="00000000" w:rsidDel="00000000" w:rsidP="00000000" w:rsidRDefault="00000000" w:rsidRPr="00000000" w14:paraId="00000088">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color w:val="ff0000"/>
          <w:sz w:val="20"/>
          <w:szCs w:val="20"/>
          <w:rtl w:val="0"/>
        </w:rPr>
        <w:t xml:space="preserve">T</w:t>
      </w:r>
      <w:r w:rsidDel="00000000" w:rsidR="00000000" w:rsidRPr="00000000">
        <w:rPr>
          <w:rFonts w:ascii="Open Sans" w:cs="Open Sans" w:eastAsia="Open Sans" w:hAnsi="Open Sans"/>
          <w:sz w:val="20"/>
          <w:szCs w:val="20"/>
          <w:rtl w:val="0"/>
        </w:rPr>
        <w:t xml:space="preserve">he Advisory Contract may be terminated with written notice 30</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calendar days in advance. Since fees are paid in arrears, no refund will be needed upon termination of the Advisory Contract. Clients will be responsible for payment of fees up to the date of termination. </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u w:val="single"/>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u w:val="single"/>
          <w:rtl w:val="0"/>
        </w:rPr>
        <w:t xml:space="preserve">Sale of Securities or Other Investment Products</w:t>
      </w: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pacing w:after="200" w:before="0" w:line="240" w:lineRule="auto"/>
        <w:jc w:val="both"/>
        <w:rPr>
          <w:rFonts w:ascii="Open Sans" w:cs="Open Sans" w:eastAsia="Open Sans" w:hAnsi="Open Sans"/>
        </w:rPr>
      </w:pPr>
      <w:r w:rsidDel="00000000" w:rsidR="00000000" w:rsidRPr="00000000">
        <w:rPr>
          <w:rFonts w:ascii="Open Sans" w:cs="Open Sans" w:eastAsia="Open Sans" w:hAnsi="Open Sans"/>
          <w:sz w:val="20"/>
          <w:szCs w:val="20"/>
          <w:rtl w:val="0"/>
        </w:rPr>
        <w:t xml:space="preserve">Advisor and its supervised persons do not accept compensation for the sale of securities or other investment products including asset-based sales charges or service fees from the sale of mutual funds.</w:t>
      </w:r>
      <w:r w:rsidDel="00000000" w:rsidR="00000000" w:rsidRPr="00000000">
        <w:rPr>
          <w:rtl w:val="0"/>
        </w:rPr>
      </w:r>
    </w:p>
    <w:p w:rsidR="00000000" w:rsidDel="00000000" w:rsidP="00000000" w:rsidRDefault="00000000" w:rsidRPr="00000000" w14:paraId="0000008D">
      <w:pPr>
        <w:pStyle w:val="Heading1"/>
        <w:pageBreakBefore w:val="0"/>
        <w:spacing w:after="0" w:line="240" w:lineRule="auto"/>
        <w:rPr>
          <w:rFonts w:ascii="Open Sans" w:cs="Open Sans" w:eastAsia="Open Sans" w:hAnsi="Open Sans"/>
          <w:sz w:val="30"/>
          <w:szCs w:val="30"/>
        </w:rPr>
      </w:pPr>
      <w:bookmarkStart w:colFirst="0" w:colLast="0" w:name="_4d28yrnflpjb" w:id="13"/>
      <w:bookmarkEnd w:id="13"/>
      <w:r w:rsidDel="00000000" w:rsidR="00000000" w:rsidRPr="00000000">
        <w:rPr>
          <w:rFonts w:ascii="Open Sans" w:cs="Open Sans" w:eastAsia="Open Sans" w:hAnsi="Open Sans"/>
          <w:sz w:val="30"/>
          <w:szCs w:val="30"/>
          <w:rtl w:val="0"/>
        </w:rPr>
        <w:t xml:space="preserve">Item 6: Performance-Based Fees and Side-By-Side Management</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do not offer performance-based fees and do not engage in side-by-side management.</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1">
      <w:pPr>
        <w:pStyle w:val="Heading1"/>
        <w:pageBreakBefore w:val="0"/>
        <w:spacing w:after="0" w:line="240" w:lineRule="auto"/>
        <w:rPr>
          <w:rFonts w:ascii="Open Sans" w:cs="Open Sans" w:eastAsia="Open Sans" w:hAnsi="Open Sans"/>
          <w:sz w:val="30"/>
          <w:szCs w:val="30"/>
        </w:rPr>
      </w:pPr>
      <w:bookmarkStart w:colFirst="0" w:colLast="0" w:name="_pxzlc71texvj" w:id="14"/>
      <w:bookmarkEnd w:id="14"/>
      <w:r w:rsidDel="00000000" w:rsidR="00000000" w:rsidRPr="00000000">
        <w:rPr>
          <w:rFonts w:ascii="Open Sans" w:cs="Open Sans" w:eastAsia="Open Sans" w:hAnsi="Open Sans"/>
          <w:sz w:val="30"/>
          <w:szCs w:val="30"/>
          <w:rtl w:val="0"/>
        </w:rPr>
        <w:t xml:space="preserve">Item 7: Types of Clients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provide </w:t>
      </w:r>
      <w:r w:rsidDel="00000000" w:rsidR="00000000" w:rsidRPr="00000000">
        <w:rPr>
          <w:rFonts w:ascii="Open Sans" w:cs="Open Sans" w:eastAsia="Open Sans" w:hAnsi="Open Sans"/>
          <w:sz w:val="20"/>
          <w:szCs w:val="20"/>
          <w:rtl w:val="0"/>
        </w:rPr>
        <w:t xml:space="preserve">financial planning</w:t>
      </w:r>
      <w:r w:rsidDel="00000000" w:rsidR="00000000" w:rsidRPr="00000000">
        <w:rPr>
          <w:rFonts w:ascii="Open Sans" w:cs="Open Sans" w:eastAsia="Open Sans" w:hAnsi="Open Sans"/>
          <w:sz w:val="20"/>
          <w:szCs w:val="20"/>
          <w:rtl w:val="0"/>
        </w:rPr>
        <w:t xml:space="preserve"> and</w:t>
      </w:r>
      <w:r w:rsidDel="00000000" w:rsidR="00000000" w:rsidRPr="00000000">
        <w:rPr>
          <w:rFonts w:ascii="Open Sans" w:cs="Open Sans" w:eastAsia="Open Sans" w:hAnsi="Open Sans"/>
          <w:sz w:val="20"/>
          <w:szCs w:val="20"/>
          <w:rtl w:val="0"/>
        </w:rPr>
        <w:t xml:space="preserve"> investment management services to individuals and </w:t>
      </w:r>
      <w:r w:rsidDel="00000000" w:rsidR="00000000" w:rsidRPr="00000000">
        <w:rPr>
          <w:rFonts w:ascii="Open Sans" w:cs="Open Sans" w:eastAsia="Open Sans" w:hAnsi="Open Sans"/>
          <w:sz w:val="20"/>
          <w:szCs w:val="20"/>
          <w:rtl w:val="0"/>
        </w:rPr>
        <w:t xml:space="preserve">high net-worth individuals</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do not have a minimum account size requirement to open or maintain an account.</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7">
      <w:pPr>
        <w:pStyle w:val="Heading1"/>
        <w:pageBreakBefore w:val="0"/>
        <w:rPr>
          <w:rFonts w:ascii="Open Sans" w:cs="Open Sans" w:eastAsia="Open Sans" w:hAnsi="Open Sans"/>
          <w:sz w:val="30"/>
          <w:szCs w:val="30"/>
        </w:rPr>
      </w:pPr>
      <w:bookmarkStart w:colFirst="0" w:colLast="0" w:name="_4k6oi5o84lu1" w:id="15"/>
      <w:bookmarkEnd w:id="15"/>
      <w:r w:rsidDel="00000000" w:rsidR="00000000" w:rsidRPr="00000000">
        <w:rPr>
          <w:rFonts w:ascii="Open Sans" w:cs="Open Sans" w:eastAsia="Open Sans" w:hAnsi="Open Sans"/>
          <w:sz w:val="30"/>
          <w:szCs w:val="30"/>
          <w:rtl w:val="0"/>
        </w:rPr>
        <w:t xml:space="preserve">Item 8: Methods of Analysis, Investment Strategies, and Risk of Loss</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bookmarkStart w:colFirst="0" w:colLast="0" w:name="_26in1rg" w:id="16"/>
      <w:bookmarkEnd w:id="16"/>
      <w:r w:rsidDel="00000000" w:rsidR="00000000" w:rsidRPr="00000000">
        <w:rPr>
          <w:rFonts w:ascii="Open Sans" w:cs="Open Sans" w:eastAsia="Open Sans" w:hAnsi="Open Sans"/>
          <w:sz w:val="20"/>
          <w:szCs w:val="20"/>
          <w:rtl w:val="0"/>
        </w:rPr>
        <w:t xml:space="preserve">Below is a brief description of our methods of analysis and primary investment strategies.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bookmarkStart w:colFirst="0" w:colLast="0" w:name="_t055z6quv1a" w:id="17"/>
      <w:bookmarkEnd w:id="17"/>
      <w:r w:rsidDel="00000000" w:rsidR="00000000" w:rsidRPr="00000000">
        <w:rPr>
          <w:rtl w:val="0"/>
        </w:rPr>
      </w:r>
    </w:p>
    <w:p w:rsidR="00000000" w:rsidDel="00000000" w:rsidP="00000000" w:rsidRDefault="00000000" w:rsidRPr="00000000" w14:paraId="0000009A">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b w:val="1"/>
          <w:u w:val="single"/>
          <w:rtl w:val="0"/>
        </w:rPr>
        <w:t xml:space="preserve">Methods of Analysis</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Fundamental analysis </w:t>
      </w:r>
      <w:r w:rsidDel="00000000" w:rsidR="00000000" w:rsidRPr="00000000">
        <w:rPr>
          <w:rFonts w:ascii="Open Sans" w:cs="Open Sans" w:eastAsia="Open Sans" w:hAnsi="Open Sans"/>
          <w:sz w:val="20"/>
          <w:szCs w:val="20"/>
          <w:rtl w:val="0"/>
        </w:rPr>
        <w:t xml:space="preserve">involves analyzing individual companies and their industry groups, such as a company’s financial statements, details regarding the company’s product line, the experience, and expertise of the company’s management, and the outlook for the company’s industry. The resulting data is used to measure the true value of the company’s stock compared to the current market value. The risk of fundamental analysis is that the information obtained may be incorrect and the analysis may not provide an accurate estimate of earnings, which may be the basis for a stock’s value. If securities prices adjust rapidly to new information, utilizing fundamental analysis may not result in favorable performance.</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bookmarkStart w:colFirst="0" w:colLast="0" w:name="_lnxbz9" w:id="18"/>
      <w:bookmarkEnd w:id="18"/>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bookmarkStart w:colFirst="0" w:colLast="0" w:name="_r52ik5bguhql" w:id="19"/>
      <w:bookmarkEnd w:id="19"/>
      <w:r w:rsidDel="00000000" w:rsidR="00000000" w:rsidRPr="00000000">
        <w:rPr>
          <w:rFonts w:ascii="Open Sans" w:cs="Open Sans" w:eastAsia="Open Sans" w:hAnsi="Open Sans"/>
          <w:b w:val="1"/>
          <w:sz w:val="20"/>
          <w:szCs w:val="20"/>
          <w:rtl w:val="0"/>
        </w:rPr>
        <w:t xml:space="preserve">Cyclical analysis</w:t>
      </w:r>
      <w:r w:rsidDel="00000000" w:rsidR="00000000" w:rsidRPr="00000000">
        <w:rPr>
          <w:rFonts w:ascii="Open Sans" w:cs="Open Sans" w:eastAsia="Open Sans" w:hAnsi="Open Sans"/>
          <w:sz w:val="20"/>
          <w:szCs w:val="20"/>
          <w:rtl w:val="0"/>
        </w:rPr>
        <w:t xml:space="preserve"> is a type of technical analysis that involves evaluating recurring price patterns and trends based upon business cycles.  Economic/business cycles may not be predictable and may have many fluctuations between long-term expansions and contractions. The lengths of economic cycles may be difficult to predict with accuracy and therefore the risk of cyclical analysis is the difficulty in predicting economic trends and consequently the changing value of securities that would be affected by these changing trends. </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A0">
      <w:pPr>
        <w:spacing w:after="0" w:line="240" w:lineRule="auto"/>
        <w:jc w:val="both"/>
        <w:rPr>
          <w:rFonts w:ascii="Open Sans" w:cs="Open Sans" w:eastAsia="Open Sans" w:hAnsi="Open Sans"/>
          <w:b w:val="1"/>
          <w:sz w:val="20"/>
          <w:szCs w:val="20"/>
        </w:rPr>
      </w:pPr>
      <w:bookmarkStart w:colFirst="0" w:colLast="0" w:name="_gc6w4wq8sju7" w:id="20"/>
      <w:bookmarkEnd w:id="20"/>
      <w:r w:rsidDel="00000000" w:rsidR="00000000" w:rsidRPr="00000000">
        <w:rPr>
          <w:rFonts w:ascii="Open Sans" w:cs="Open Sans" w:eastAsia="Open Sans" w:hAnsi="Open Sans"/>
          <w:b w:val="1"/>
          <w:sz w:val="20"/>
          <w:szCs w:val="20"/>
          <w:rtl w:val="0"/>
        </w:rPr>
        <w:t xml:space="preserve">Modern Portfolio Theory (MPT)</w:t>
      </w:r>
    </w:p>
    <w:p w:rsidR="00000000" w:rsidDel="00000000" w:rsidP="00000000" w:rsidRDefault="00000000" w:rsidRPr="00000000" w14:paraId="000000A1">
      <w:pPr>
        <w:spacing w:after="0" w:line="240" w:lineRule="auto"/>
        <w:jc w:val="both"/>
        <w:rPr>
          <w:rFonts w:ascii="Open Sans" w:cs="Open Sans" w:eastAsia="Open Sans" w:hAnsi="Open Sans"/>
          <w:sz w:val="20"/>
          <w:szCs w:val="20"/>
        </w:rPr>
      </w:pPr>
      <w:bookmarkStart w:colFirst="0" w:colLast="0" w:name="_ovyho9q55u7k" w:id="21"/>
      <w:bookmarkEnd w:id="21"/>
      <w:r w:rsidDel="00000000" w:rsidR="00000000" w:rsidRPr="00000000">
        <w:rPr>
          <w:rFonts w:ascii="Open Sans" w:cs="Open Sans" w:eastAsia="Open Sans" w:hAnsi="Open Sans"/>
          <w:sz w:val="20"/>
          <w:szCs w:val="20"/>
          <w:rtl w:val="0"/>
        </w:rPr>
        <w:t xml:space="preserve">The underlying principles of MPT are:</w:t>
      </w:r>
    </w:p>
    <w:p w:rsidR="00000000" w:rsidDel="00000000" w:rsidP="00000000" w:rsidRDefault="00000000" w:rsidRPr="00000000" w14:paraId="000000A2">
      <w:pPr>
        <w:numPr>
          <w:ilvl w:val="0"/>
          <w:numId w:val="6"/>
        </w:numPr>
        <w:spacing w:after="0" w:line="240" w:lineRule="auto"/>
        <w:ind w:left="720" w:hanging="360"/>
        <w:jc w:val="both"/>
        <w:rPr>
          <w:rFonts w:ascii="Open Sans" w:cs="Open Sans" w:eastAsia="Open Sans" w:hAnsi="Open Sans"/>
          <w:sz w:val="20"/>
          <w:szCs w:val="20"/>
        </w:rPr>
      </w:pPr>
      <w:bookmarkStart w:colFirst="0" w:colLast="0" w:name="_69ro31ujees6" w:id="22"/>
      <w:bookmarkEnd w:id="22"/>
      <w:r w:rsidDel="00000000" w:rsidR="00000000" w:rsidRPr="00000000">
        <w:rPr>
          <w:rFonts w:ascii="Open Sans" w:cs="Open Sans" w:eastAsia="Open Sans" w:hAnsi="Open Sans"/>
          <w:sz w:val="20"/>
          <w:szCs w:val="20"/>
          <w:rtl w:val="0"/>
        </w:rPr>
        <w:t xml:space="preserve">Investors are risk averse. The only acceptable risk is that which is adequately compensated by an expected return. Risk and investment return are related and an increase in risk requires an increased expected return.</w:t>
      </w:r>
    </w:p>
    <w:p w:rsidR="00000000" w:rsidDel="00000000" w:rsidP="00000000" w:rsidRDefault="00000000" w:rsidRPr="00000000" w14:paraId="000000A3">
      <w:pPr>
        <w:numPr>
          <w:ilvl w:val="0"/>
          <w:numId w:val="6"/>
        </w:numPr>
        <w:spacing w:after="0" w:line="240" w:lineRule="auto"/>
        <w:ind w:left="720" w:hanging="360"/>
        <w:jc w:val="both"/>
        <w:rPr>
          <w:rFonts w:ascii="Open Sans" w:cs="Open Sans" w:eastAsia="Open Sans" w:hAnsi="Open Sans"/>
          <w:sz w:val="20"/>
          <w:szCs w:val="20"/>
        </w:rPr>
      </w:pPr>
      <w:bookmarkStart w:colFirst="0" w:colLast="0" w:name="_lej84k9qjaxo" w:id="23"/>
      <w:bookmarkEnd w:id="23"/>
      <w:r w:rsidDel="00000000" w:rsidR="00000000" w:rsidRPr="00000000">
        <w:rPr>
          <w:rFonts w:ascii="Open Sans" w:cs="Open Sans" w:eastAsia="Open Sans" w:hAnsi="Open Sans"/>
          <w:sz w:val="20"/>
          <w:szCs w:val="20"/>
          <w:rtl w:val="0"/>
        </w:rPr>
        <w:t xml:space="preserve">Markets are efficient. The same market information is available to all investors at the same time. The market prices every security fairly based upon this equal availability of information.</w:t>
      </w:r>
    </w:p>
    <w:p w:rsidR="00000000" w:rsidDel="00000000" w:rsidP="00000000" w:rsidRDefault="00000000" w:rsidRPr="00000000" w14:paraId="000000A4">
      <w:pPr>
        <w:numPr>
          <w:ilvl w:val="0"/>
          <w:numId w:val="6"/>
        </w:numPr>
        <w:spacing w:after="0" w:line="240" w:lineRule="auto"/>
        <w:ind w:left="720" w:hanging="360"/>
        <w:jc w:val="both"/>
        <w:rPr>
          <w:rFonts w:ascii="Open Sans" w:cs="Open Sans" w:eastAsia="Open Sans" w:hAnsi="Open Sans"/>
          <w:sz w:val="20"/>
          <w:szCs w:val="20"/>
        </w:rPr>
      </w:pPr>
      <w:bookmarkStart w:colFirst="0" w:colLast="0" w:name="_kqsm9yh688fo" w:id="24"/>
      <w:bookmarkEnd w:id="24"/>
      <w:r w:rsidDel="00000000" w:rsidR="00000000" w:rsidRPr="00000000">
        <w:rPr>
          <w:rFonts w:ascii="Open Sans" w:cs="Open Sans" w:eastAsia="Open Sans" w:hAnsi="Open Sans"/>
          <w:sz w:val="20"/>
          <w:szCs w:val="20"/>
          <w:rtl w:val="0"/>
        </w:rPr>
        <w:t xml:space="preserve">The design of the portfolio as a whole is more important than the selection of any particular security. The appropriate allocation of capital among asset classes will have far more influence on long-term portfolio performance than the selection of individual securities.</w:t>
      </w:r>
    </w:p>
    <w:p w:rsidR="00000000" w:rsidDel="00000000" w:rsidP="00000000" w:rsidRDefault="00000000" w:rsidRPr="00000000" w14:paraId="000000A5">
      <w:pPr>
        <w:numPr>
          <w:ilvl w:val="0"/>
          <w:numId w:val="6"/>
        </w:numPr>
        <w:spacing w:after="0" w:line="240" w:lineRule="auto"/>
        <w:ind w:left="720" w:hanging="360"/>
        <w:jc w:val="both"/>
        <w:rPr>
          <w:rFonts w:ascii="Open Sans" w:cs="Open Sans" w:eastAsia="Open Sans" w:hAnsi="Open Sans"/>
          <w:sz w:val="20"/>
          <w:szCs w:val="20"/>
        </w:rPr>
      </w:pPr>
      <w:bookmarkStart w:colFirst="0" w:colLast="0" w:name="_p2bpagdo6b" w:id="25"/>
      <w:bookmarkEnd w:id="25"/>
      <w:r w:rsidDel="00000000" w:rsidR="00000000" w:rsidRPr="00000000">
        <w:rPr>
          <w:rFonts w:ascii="Open Sans" w:cs="Open Sans" w:eastAsia="Open Sans" w:hAnsi="Open Sans"/>
          <w:sz w:val="20"/>
          <w:szCs w:val="20"/>
          <w:rtl w:val="0"/>
        </w:rPr>
        <w:t xml:space="preserve">Investing for the long-term (preferably longer than ten years) becomes critical to investment success because it allows the long-term characteristics of the asset classes to surface.</w:t>
      </w:r>
    </w:p>
    <w:p w:rsidR="00000000" w:rsidDel="00000000" w:rsidP="00000000" w:rsidRDefault="00000000" w:rsidRPr="00000000" w14:paraId="000000A6">
      <w:pPr>
        <w:numPr>
          <w:ilvl w:val="0"/>
          <w:numId w:val="6"/>
        </w:numPr>
        <w:spacing w:after="0" w:line="240" w:lineRule="auto"/>
        <w:ind w:left="720" w:hanging="360"/>
        <w:jc w:val="both"/>
        <w:rPr>
          <w:rFonts w:ascii="Open Sans" w:cs="Open Sans" w:eastAsia="Open Sans" w:hAnsi="Open Sans"/>
          <w:sz w:val="20"/>
          <w:szCs w:val="20"/>
        </w:rPr>
      </w:pPr>
      <w:bookmarkStart w:colFirst="0" w:colLast="0" w:name="_x0o6f6qf9ld" w:id="26"/>
      <w:bookmarkEnd w:id="26"/>
      <w:r w:rsidDel="00000000" w:rsidR="00000000" w:rsidRPr="00000000">
        <w:rPr>
          <w:rFonts w:ascii="Open Sans" w:cs="Open Sans" w:eastAsia="Open Sans" w:hAnsi="Open Sans"/>
          <w:sz w:val="20"/>
          <w:szCs w:val="20"/>
          <w:rtl w:val="0"/>
        </w:rPr>
        <w:t xml:space="preserve">Increasing diversification of the portfolio with lower correlated asset class positions can decrease portfolio risk. Correlation is the statistical term for the extent to which two asset classes move in tandem or opposition to one another.</w:t>
      </w:r>
    </w:p>
    <w:p w:rsidR="00000000" w:rsidDel="00000000" w:rsidP="00000000" w:rsidRDefault="00000000" w:rsidRPr="00000000" w14:paraId="000000A7">
      <w:pPr>
        <w:spacing w:after="0" w:line="240" w:lineRule="auto"/>
        <w:ind w:left="0" w:firstLine="0"/>
        <w:jc w:val="both"/>
        <w:rPr>
          <w:rFonts w:ascii="Open Sans" w:cs="Open Sans" w:eastAsia="Open Sans" w:hAnsi="Open Sans"/>
          <w:sz w:val="20"/>
          <w:szCs w:val="20"/>
        </w:rPr>
      </w:pPr>
      <w:bookmarkStart w:colFirst="0" w:colLast="0" w:name="_11c8ptf9z9r2" w:id="27"/>
      <w:bookmarkEnd w:id="27"/>
      <w:r w:rsidDel="00000000" w:rsidR="00000000" w:rsidRPr="00000000">
        <w:rPr>
          <w:rtl w:val="0"/>
        </w:rPr>
      </w:r>
    </w:p>
    <w:p w:rsidR="00000000" w:rsidDel="00000000" w:rsidP="00000000" w:rsidRDefault="00000000" w:rsidRPr="00000000" w14:paraId="000000A8">
      <w:pPr>
        <w:spacing w:after="0" w:line="240" w:lineRule="auto"/>
        <w:ind w:left="0" w:firstLine="0"/>
        <w:jc w:val="both"/>
        <w:rPr>
          <w:rFonts w:ascii="Open Sans" w:cs="Open Sans" w:eastAsia="Open Sans" w:hAnsi="Open Sans"/>
          <w:sz w:val="20"/>
          <w:szCs w:val="20"/>
        </w:rPr>
      </w:pPr>
      <w:bookmarkStart w:colFirst="0" w:colLast="0" w:name="_ijjbffysi65a" w:id="28"/>
      <w:bookmarkEnd w:id="28"/>
      <w:r w:rsidDel="00000000" w:rsidR="00000000" w:rsidRPr="00000000">
        <w:rPr>
          <w:rFonts w:ascii="Open Sans" w:cs="Open Sans" w:eastAsia="Open Sans" w:hAnsi="Open Sans"/>
          <w:sz w:val="20"/>
          <w:szCs w:val="20"/>
          <w:rtl w:val="0"/>
        </w:rPr>
        <w:t xml:space="preserve">Risks Associated with Modern Portfolio Theory: Market risk is that part of a security's risk that is common to all securities of the same general class (stocks and bonds) and thus cannot be eliminated by diversification.</w:t>
      </w:r>
    </w:p>
    <w:p w:rsidR="00000000" w:rsidDel="00000000" w:rsidP="00000000" w:rsidRDefault="00000000" w:rsidRPr="00000000" w14:paraId="000000A9">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AA">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Mutual Fund and/or ETF Analysis: </w:t>
      </w:r>
      <w:r w:rsidDel="00000000" w:rsidR="00000000" w:rsidRPr="00000000">
        <w:rPr>
          <w:rFonts w:ascii="Open Sans" w:cs="Open Sans" w:eastAsia="Open Sans" w:hAnsi="Open Sans"/>
          <w:sz w:val="20"/>
          <w:szCs w:val="20"/>
          <w:rtl w:val="0"/>
        </w:rPr>
        <w:t xml:space="preserve">We look at the experience and track record of the manager of the mutual fund or ETF in an attempt to determine if that manager has demonstrated an ability to invest over a period of time and in different economic conditions. We also look at the underlying assets in a mutual fund or ETF in an attempt to determine if there is significant overlap in the underlying investments held in other funds in the Client’s portfolio. In addition, we monitor the funds or ETFs in an attempt to determine if they are continuing to follow their stated investment strategy.</w:t>
      </w:r>
    </w:p>
    <w:p w:rsidR="00000000" w:rsidDel="00000000" w:rsidP="00000000" w:rsidRDefault="00000000" w:rsidRPr="00000000" w14:paraId="000000AB">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AC">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 risk of mutual fund and/or ETF analysis is that, as in all securities investments, past performance does not guarantee future results. A manager who has been successful may not be able to replicate that success in the future. In addition, as we do not control the underlying investments in a fund or ETF, managers of different funds held by the client may purchase the same security, increasing the risk to the client if that security were to fall in value. There is also a risk that a manager may deviate from the stated investment mandate or strategy of the fund or ETF, which could make the fund or ETF less suitable for the Client’s portfolio.</w:t>
      </w:r>
    </w:p>
    <w:p w:rsidR="00000000" w:rsidDel="00000000" w:rsidP="00000000" w:rsidRDefault="00000000" w:rsidRPr="00000000" w14:paraId="000000AD">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AE">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Use of Outside Managers:</w:t>
      </w:r>
      <w:r w:rsidDel="00000000" w:rsidR="00000000" w:rsidRPr="00000000">
        <w:rPr>
          <w:rFonts w:ascii="Open Sans" w:cs="Open Sans" w:eastAsia="Open Sans" w:hAnsi="Open Sans"/>
          <w:sz w:val="20"/>
          <w:szCs w:val="20"/>
          <w:rtl w:val="0"/>
        </w:rPr>
        <w:t xml:space="preserve"> We may refer Clients to Third Party Investment Advisers or advisory programs (“Outside Managers”). Our analysis of Outside Managers involves the examination of the experience, expertise, investment philosophies, and past performance of the Outside Managers in an attempt to determine if that Outside Manager has demonstrated an ability to invest over a period of time and in different economic conditions. We monitor the Outside Manager's underlying holdings, strategies, concentrations, and leverage as part of our overall periodic risk assessment. Additionally, as part of our due diligence process, we survey the Outside Manager's compliance and business enterprise risks. A risk of investing with an Outside Manager who has been successful in the past is that they may not be able to replicate that success in the future. In addition, we do not control the underlying investments in an Outside Manager's portfolio. There is also a risk that an Outside Manager may deviate from the stated investment mandate or strategy of the portfolio, making it a less suitable investment for our Clients. Moreover, as we do not control the Outside Manager's daily business and compliance operations, we may be unaware of the lack of internal controls necessary to prevent business, regulatory or reputational deficiencies.</w:t>
      </w:r>
    </w:p>
    <w:p w:rsidR="00000000" w:rsidDel="00000000" w:rsidP="00000000" w:rsidRDefault="00000000" w:rsidRPr="00000000" w14:paraId="000000AF">
      <w:pPr>
        <w:pageBreakBefore w:val="0"/>
        <w:spacing w:after="0" w:before="0" w:line="240" w:lineRule="auto"/>
        <w:jc w:val="both"/>
        <w:rPr>
          <w:rFonts w:ascii="Open Sans" w:cs="Open Sans" w:eastAsia="Open Sans" w:hAnsi="Open Sans"/>
          <w:b w:val="1"/>
          <w:sz w:val="20"/>
          <w:szCs w:val="20"/>
        </w:rPr>
      </w:pPr>
      <w:bookmarkStart w:colFirst="0" w:colLast="0" w:name="_5feu3l2yfwx1" w:id="29"/>
      <w:bookmarkEnd w:id="29"/>
      <w:r w:rsidDel="00000000" w:rsidR="00000000" w:rsidRPr="00000000">
        <w:rPr>
          <w:rtl w:val="0"/>
        </w:rPr>
      </w:r>
    </w:p>
    <w:p w:rsidR="00000000" w:rsidDel="00000000" w:rsidP="00000000" w:rsidRDefault="00000000" w:rsidRPr="00000000" w14:paraId="000000B0">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b w:val="1"/>
          <w:u w:val="single"/>
          <w:rtl w:val="0"/>
        </w:rPr>
        <w:t xml:space="preserve">Investment Strategies</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bookmarkStart w:colFirst="0" w:colLast="0" w:name="_35nkun2" w:id="30"/>
      <w:bookmarkEnd w:id="30"/>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bookmarkStart w:colFirst="0" w:colLast="0" w:name="_vdzfd4wa9p30" w:id="31"/>
      <w:bookmarkEnd w:id="31"/>
      <w:r w:rsidDel="00000000" w:rsidR="00000000" w:rsidRPr="00000000">
        <w:rPr>
          <w:rFonts w:ascii="Open Sans" w:cs="Open Sans" w:eastAsia="Open Sans" w:hAnsi="Open Sans"/>
          <w:b w:val="1"/>
          <w:sz w:val="20"/>
          <w:szCs w:val="20"/>
          <w:rtl w:val="0"/>
        </w:rPr>
        <w:t xml:space="preserve">Asset Allocation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bookmarkStart w:colFirst="0" w:colLast="0" w:name="_8hvhcfi2n5xn" w:id="32"/>
      <w:bookmarkEnd w:id="32"/>
      <w:r w:rsidDel="00000000" w:rsidR="00000000" w:rsidRPr="00000000">
        <w:rPr>
          <w:rFonts w:ascii="Open Sans" w:cs="Open Sans" w:eastAsia="Open Sans" w:hAnsi="Open Sans"/>
          <w:sz w:val="20"/>
          <w:szCs w:val="20"/>
          <w:rtl w:val="0"/>
        </w:rPr>
        <w:t xml:space="preserve">In implementing our Clients’ investment strategy, we begin by attempting to identify an appropriate ratio of equities, fixed income, and cash (i.e. “asset allocation”) suitable to the Client’s investment goals and risk tolerance.</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bookmarkStart w:colFirst="0" w:colLast="0" w:name="_edig9om6zrzm" w:id="33"/>
      <w:bookmarkEnd w:id="33"/>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bookmarkStart w:colFirst="0" w:colLast="0" w:name="_49ofznlzv8ra" w:id="34"/>
      <w:bookmarkEnd w:id="34"/>
      <w:r w:rsidDel="00000000" w:rsidR="00000000" w:rsidRPr="00000000">
        <w:rPr>
          <w:rFonts w:ascii="Open Sans" w:cs="Open Sans" w:eastAsia="Open Sans" w:hAnsi="Open Sans"/>
          <w:sz w:val="20"/>
          <w:szCs w:val="20"/>
          <w:rtl w:val="0"/>
        </w:rPr>
        <w:t xml:space="preserve">A risk of asset allocation is that the Client may not participate in sharp increases in a particular security, industry or market sector. Another risk is that the ratio of equities, fixed income, and cash will change over time due to stock and market movements and, if not corrected, will no longer be appropriate for the Client’s goals. We attempt to closely monitor our asset allocation models and make changes periodically to keep in line with the target risk tolerance model.</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7">
      <w:pPr>
        <w:widowControl w:val="0"/>
        <w:spacing w:after="0" w:line="276" w:lineRule="auto"/>
        <w:rPr>
          <w:rFonts w:ascii="Open Sans" w:cs="Open Sans" w:eastAsia="Open Sans" w:hAnsi="Open Sans"/>
          <w:b w:val="1"/>
          <w:sz w:val="20"/>
          <w:szCs w:val="20"/>
        </w:rPr>
      </w:pPr>
      <w:bookmarkStart w:colFirst="0" w:colLast="0" w:name="_lnxbz9" w:id="18"/>
      <w:bookmarkEnd w:id="18"/>
      <w:r w:rsidDel="00000000" w:rsidR="00000000" w:rsidRPr="00000000">
        <w:rPr>
          <w:rFonts w:ascii="Open Sans" w:cs="Open Sans" w:eastAsia="Open Sans" w:hAnsi="Open Sans"/>
          <w:b w:val="1"/>
          <w:sz w:val="20"/>
          <w:szCs w:val="20"/>
          <w:rtl w:val="0"/>
        </w:rPr>
        <w:t xml:space="preserve">Passive and Active Investment Management </w:t>
      </w:r>
    </w:p>
    <w:p w:rsidR="00000000" w:rsidDel="00000000" w:rsidP="00000000" w:rsidRDefault="00000000" w:rsidRPr="00000000" w14:paraId="000000B8">
      <w:pPr>
        <w:widowControl w:val="0"/>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may choose investment vehicles that are considered passive, active, or a combination of both styles. </w:t>
      </w:r>
    </w:p>
    <w:p w:rsidR="00000000" w:rsidDel="00000000" w:rsidP="00000000" w:rsidRDefault="00000000" w:rsidRPr="00000000" w14:paraId="000000B9">
      <w:pPr>
        <w:widowControl w:val="0"/>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A">
      <w:pPr>
        <w:widowControl w:val="0"/>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Passive investing involves building portfolios that are composed of various distinct asset classes. The asset classes are weighted in a manner to achieve a desired relationship between correlation, risk and return. Funds that passively capture the returns of the desired asset classes are placed in the portfolio. </w:t>
      </w:r>
    </w:p>
    <w:p w:rsidR="00000000" w:rsidDel="00000000" w:rsidP="00000000" w:rsidRDefault="00000000" w:rsidRPr="00000000" w14:paraId="000000BB">
      <w:pPr>
        <w:widowControl w:val="0"/>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C">
      <w:pPr>
        <w:widowControl w:val="0"/>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Active investing involves a single manager or managers who employ some method, strategy or technique to construct a portfolio that is intended to generate returns that are greater than the broader market or a designated benchmark. Actively managed funds are also designed to reduce volatility and risk.</w:t>
      </w:r>
    </w:p>
    <w:p w:rsidR="00000000" w:rsidDel="00000000" w:rsidP="00000000" w:rsidRDefault="00000000" w:rsidRPr="00000000" w14:paraId="000000BD">
      <w:pPr>
        <w:widowControl w:val="0"/>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E">
      <w:pPr>
        <w:widowControl w:val="0"/>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may engage in both passive and active investing in Client’s portfolio. However, we strive to construct portfolios of funds and individual securities that we believe will have the greatest probability for achieving our Clients’ personal financial goals with the least amount of volatility and risk rather than attempt to outperform an arbitrary index or benchmark. </w:t>
      </w:r>
    </w:p>
    <w:p w:rsidR="00000000" w:rsidDel="00000000" w:rsidP="00000000" w:rsidRDefault="00000000" w:rsidRPr="00000000" w14:paraId="000000BF">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C0">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Specific investment selections are based on a number of factors that we evaluate in order to select, what we believe to be, the highest quality funds or individual securities for our Clients. These factors include but are not limited to underlying holdings of funds, percentage weighting of holdings within funds, liquidity, tax efficiency, bid/ask spreads, and other smart/strategic beta factors. These factors may or may not result in the lowest cost ETFs and mutual funds available when utilizing funds in a Client’s portfolio, but we strive to keep internal fund expenses as low as possible.</w:t>
      </w:r>
    </w:p>
    <w:p w:rsidR="00000000" w:rsidDel="00000000" w:rsidP="00000000" w:rsidRDefault="00000000" w:rsidRPr="00000000" w14:paraId="000000C1">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C2">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Long-term/Short-term purchases</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C3">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purchase securities and generally hold them in the Client's account for a year or longer. Short-term purchases may be employed as appropriate when:</w:t>
      </w:r>
    </w:p>
    <w:p w:rsidR="00000000" w:rsidDel="00000000" w:rsidP="00000000" w:rsidRDefault="00000000" w:rsidRPr="00000000" w14:paraId="000000C4">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C5">
      <w:pPr>
        <w:numPr>
          <w:ilvl w:val="0"/>
          <w:numId w:val="3"/>
        </w:numPr>
        <w:spacing w:after="0"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believe the securities to be currently undervalued, and/or</w:t>
      </w:r>
    </w:p>
    <w:p w:rsidR="00000000" w:rsidDel="00000000" w:rsidP="00000000" w:rsidRDefault="00000000" w:rsidRPr="00000000" w14:paraId="000000C6">
      <w:pPr>
        <w:numPr>
          <w:ilvl w:val="0"/>
          <w:numId w:val="3"/>
        </w:numPr>
        <w:spacing w:after="0"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want exposure to a particular asset class over time, regardless of the current projection for this class.</w:t>
      </w:r>
    </w:p>
    <w:p w:rsidR="00000000" w:rsidDel="00000000" w:rsidP="00000000" w:rsidRDefault="00000000" w:rsidRPr="00000000" w14:paraId="000000C7">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C8">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 risk in a long-term purchase strategy is that by holding the security for this length of time, we may not take advantage of short-term gains that could be profitable to a client. Moreover, if our predictions are incorrect, a security may decline sharply in value before we make the decision to sell.</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Material Risks Involved</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All investing strategies we offer involve risk and may result in a loss of your original investment which you should be prepared to bear.</w:t>
      </w:r>
      <w:r w:rsidDel="00000000" w:rsidR="00000000" w:rsidRPr="00000000">
        <w:rPr>
          <w:rFonts w:ascii="Open Sans" w:cs="Open Sans" w:eastAsia="Open Sans" w:hAnsi="Open Sans"/>
          <w:sz w:val="20"/>
          <w:szCs w:val="20"/>
          <w:rtl w:val="0"/>
        </w:rPr>
        <w:t xml:space="preserve"> Many of these risks apply equally to stocks, bonds, commodities, and any other investment or security. Material risks associated with our investment strategies are listed below.</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Market Risk:</w:t>
      </w:r>
      <w:r w:rsidDel="00000000" w:rsidR="00000000" w:rsidRPr="00000000">
        <w:rPr>
          <w:rFonts w:ascii="Open Sans" w:cs="Open Sans" w:eastAsia="Open Sans" w:hAnsi="Open Sans"/>
          <w:b w:val="1"/>
          <w:i w:val="1"/>
          <w:sz w:val="20"/>
          <w:szCs w:val="20"/>
          <w:rtl w:val="0"/>
        </w:rPr>
        <w:t xml:space="preserve"> </w:t>
      </w:r>
      <w:r w:rsidDel="00000000" w:rsidR="00000000" w:rsidRPr="00000000">
        <w:rPr>
          <w:rFonts w:ascii="Open Sans" w:cs="Open Sans" w:eastAsia="Open Sans" w:hAnsi="Open Sans"/>
          <w:sz w:val="20"/>
          <w:szCs w:val="20"/>
          <w:rtl w:val="0"/>
        </w:rPr>
        <w:t xml:space="preserve">Market risk involves the possibility that an investment’s current market value will fall because of a general market decline, reducing the value of the investment regardless of the operational success of the issuer’s operations or its financial condition.</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Strategy Risk:</w:t>
      </w:r>
      <w:r w:rsidDel="00000000" w:rsidR="00000000" w:rsidRPr="00000000">
        <w:rPr>
          <w:rFonts w:ascii="Open Sans" w:cs="Open Sans" w:eastAsia="Open Sans" w:hAnsi="Open Sans"/>
          <w:sz w:val="20"/>
          <w:szCs w:val="20"/>
          <w:rtl w:val="0"/>
        </w:rPr>
        <w:t xml:space="preserve"> The Adviser’s investment strategies and/or investment techniques may not work as intended. </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Interest Rate Risk:</w:t>
      </w:r>
      <w:r w:rsidDel="00000000" w:rsidR="00000000" w:rsidRPr="00000000">
        <w:rPr>
          <w:rFonts w:ascii="Open Sans" w:cs="Open Sans" w:eastAsia="Open Sans" w:hAnsi="Open Sans"/>
          <w:sz w:val="20"/>
          <w:szCs w:val="20"/>
          <w:rtl w:val="0"/>
        </w:rPr>
        <w:t xml:space="preserve"> Bond (fixed income) prices generally fall when interest rates rise, and the value may fall below par value or the principal investment. The opposite is also generally true: bond prices generally rise when interest rates fall. In general, fixed income securities with longer maturities are more sensitive to these price changes. Most other investments are also sensitive to the level and direction of interest rates.</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Legal or Legislative Risk</w:t>
      </w:r>
      <w:r w:rsidDel="00000000" w:rsidR="00000000" w:rsidRPr="00000000">
        <w:rPr>
          <w:rFonts w:ascii="Open Sans" w:cs="Open Sans" w:eastAsia="Open Sans" w:hAnsi="Open Sans"/>
          <w:sz w:val="20"/>
          <w:szCs w:val="20"/>
          <w:rtl w:val="0"/>
        </w:rPr>
        <w:t xml:space="preserve">: Legislative changes or Court rulings may impact the value of investments, or the securities’ claim on the issuer’s assets and finances.</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Inflation</w:t>
      </w:r>
      <w:r w:rsidDel="00000000" w:rsidR="00000000" w:rsidRPr="00000000">
        <w:rPr>
          <w:rFonts w:ascii="Open Sans" w:cs="Open Sans" w:eastAsia="Open Sans" w:hAnsi="Open Sans"/>
          <w:sz w:val="20"/>
          <w:szCs w:val="20"/>
          <w:rtl w:val="0"/>
        </w:rPr>
        <w:t xml:space="preserve">: Inflation may erode the buying power of your investment portfolio, even if the dollar value of your investments remains the same.</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rPr>
      </w:pPr>
      <w:bookmarkStart w:colFirst="0" w:colLast="0" w:name="_1ksv4uv" w:id="35"/>
      <w:bookmarkEnd w:id="35"/>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u w:val="single"/>
        </w:rPr>
      </w:pPr>
      <w:bookmarkStart w:colFirst="0" w:colLast="0" w:name="_h0ksgihtjjya" w:id="36"/>
      <w:bookmarkEnd w:id="36"/>
      <w:r w:rsidDel="00000000" w:rsidR="00000000" w:rsidRPr="00000000">
        <w:rPr>
          <w:rFonts w:ascii="Open Sans" w:cs="Open Sans" w:eastAsia="Open Sans" w:hAnsi="Open Sans"/>
          <w:b w:val="1"/>
          <w:u w:val="single"/>
          <w:rtl w:val="0"/>
        </w:rPr>
        <w:t xml:space="preserve">Risks Associated with Securities</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Apart from the general risks outlined above which apply to all types of investments, specific securities may have other risks.</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DA">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Bank Obligations </w:t>
      </w:r>
      <w:r w:rsidDel="00000000" w:rsidR="00000000" w:rsidRPr="00000000">
        <w:rPr>
          <w:rFonts w:ascii="Open Sans" w:cs="Open Sans" w:eastAsia="Open Sans" w:hAnsi="Open Sans"/>
          <w:sz w:val="20"/>
          <w:szCs w:val="20"/>
          <w:rtl w:val="0"/>
        </w:rPr>
        <w:t xml:space="preserve">including bonds and certificates of deposit may be vulnerable to setbacks or panics in the banking industry. Banks and other financial institutions are greatly affected by interest rates and may be adversely affected by downturns in the U.S. and foreign economies or changes in banking regulations.</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Commercial Paper</w:t>
      </w:r>
      <w:r w:rsidDel="00000000" w:rsidR="00000000" w:rsidRPr="00000000">
        <w:rPr>
          <w:rFonts w:ascii="Open Sans" w:cs="Open Sans" w:eastAsia="Open Sans" w:hAnsi="Open Sans"/>
          <w:sz w:val="20"/>
          <w:szCs w:val="20"/>
          <w:rtl w:val="0"/>
        </w:rPr>
        <w:t xml:space="preserve"> is, in most cases, an unsecured promissory note that is issued with a maturity of 270 days or less. Being unsecured the risk to the investor is that the issuer may default.</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Common stocks </w:t>
      </w:r>
      <w:r w:rsidDel="00000000" w:rsidR="00000000" w:rsidRPr="00000000">
        <w:rPr>
          <w:rFonts w:ascii="Open Sans" w:cs="Open Sans" w:eastAsia="Open Sans" w:hAnsi="Open Sans"/>
          <w:sz w:val="20"/>
          <w:szCs w:val="20"/>
          <w:rtl w:val="0"/>
        </w:rPr>
        <w:t xml:space="preserve">may go up and down in price quite dramatically, and in the event of an issuer’s bankruptcy or restructuring could lose all value. A slower-growth or recessionary economic environment could have an adverse effect on the price of all stocks.</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Corporate Bonds</w:t>
      </w:r>
      <w:r w:rsidDel="00000000" w:rsidR="00000000" w:rsidRPr="00000000">
        <w:rPr>
          <w:rFonts w:ascii="Open Sans" w:cs="Open Sans" w:eastAsia="Open Sans" w:hAnsi="Open Sans"/>
          <w:sz w:val="20"/>
          <w:szCs w:val="20"/>
          <w:rtl w:val="0"/>
        </w:rPr>
        <w:t xml:space="preserve"> are debt securities to borrow money. Generally, issuers pay investors periodic interest and repay the amount borrowed either periodically during the life of the security and/or at maturity. Alternatively, investors can purchase other debt securities, such as zero coupon bonds, which do not pay current interest, but rather are priced at a discount from their face values and their values accrete over time to face value at maturity. The market prices of debt securities fluctuate depending on factors such as interest rates, credit quality, and maturity. In general, market prices of debt securities decline when interest rates rise and increase when interest rates fall. The longer the time to a bond’s maturity, the greater its interest rate risk.</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E2">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Exchange Traded Funds</w:t>
      </w:r>
      <w:r w:rsidDel="00000000" w:rsidR="00000000" w:rsidRPr="00000000">
        <w:rPr>
          <w:rFonts w:ascii="Open Sans" w:cs="Open Sans" w:eastAsia="Open Sans" w:hAnsi="Open Sans"/>
          <w:sz w:val="20"/>
          <w:szCs w:val="20"/>
          <w:rtl w:val="0"/>
        </w:rPr>
        <w:t xml:space="preserve"> prices may vary significantly from the Net Asset Value due to market conditions. Certain Exchange Traded Funds may not track underlying benchmarks as expected. ETFs are also subject to the following risks: (i) an ETF’s shares may trade at a market price that is above (premium) or below (discount) their net asset value and an ETF purchased at a premium may ultimately be sold at a discount; </w:t>
      </w:r>
      <w:r w:rsidDel="00000000" w:rsidR="00000000" w:rsidRPr="00000000">
        <w:rPr>
          <w:rFonts w:ascii="Open Sans" w:cs="Open Sans" w:eastAsia="Open Sans" w:hAnsi="Open Sans"/>
          <w:sz w:val="20"/>
          <w:szCs w:val="20"/>
          <w:rtl w:val="0"/>
        </w:rPr>
        <w:t xml:space="preserve">(ii) </w:t>
      </w:r>
      <w:r w:rsidDel="00000000" w:rsidR="00000000" w:rsidRPr="00000000">
        <w:rPr>
          <w:rFonts w:ascii="Open Sans" w:cs="Open Sans" w:eastAsia="Open Sans" w:hAnsi="Open Sans"/>
          <w:sz w:val="20"/>
          <w:szCs w:val="20"/>
          <w:rtl w:val="0"/>
        </w:rPr>
        <w:t xml:space="preserve">trading of an ETF’s shares may be halted if the listing exchange’s officials deem such action appropriate, the shares are delisted from the exchange, or the activation of market-wide “circuit breakers” (which are tied to large decreases in stock prices) halts stock trading generally. The Adviser has no control over the risks taken by the underlying funds in which the Clients invest.</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Municipal Bonds</w:t>
      </w:r>
      <w:r w:rsidDel="00000000" w:rsidR="00000000" w:rsidRPr="00000000">
        <w:rPr>
          <w:rFonts w:ascii="Open Sans" w:cs="Open Sans" w:eastAsia="Open Sans" w:hAnsi="Open Sans"/>
          <w:sz w:val="20"/>
          <w:szCs w:val="20"/>
          <w:rtl w:val="0"/>
        </w:rPr>
        <w:t xml:space="preserve"> are debt obligations generally issued to obtain funds for various public purposes, including the construction of public facilities. Municipal bonds pay a lower rate of return than most other types of bonds. However, because of a municipal bond’s tax-favored status, investors should compare the relative after-tax return to the after-tax return of other bonds, depending on the investor’s tax bracket. Investing in municipal bonds carries the same general risks as investing in bonds in general. Those risks include interest rate risk, reinvestment risk, inflation risk, market risk, call or redemption risk, credit risk, and liquidity and valuation risk.</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E6">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Mutual Funds</w:t>
      </w:r>
      <w:r w:rsidDel="00000000" w:rsidR="00000000" w:rsidRPr="00000000">
        <w:rPr>
          <w:rFonts w:ascii="Open Sans" w:cs="Open Sans" w:eastAsia="Open Sans" w:hAnsi="Open Sans"/>
          <w:sz w:val="20"/>
          <w:szCs w:val="20"/>
          <w:rtl w:val="0"/>
        </w:rPr>
        <w:t xml:space="preserve"> When a Client invests in open-end mutual funds or ETFs, the Client indirectly bears its proportionate share of any fees and expenses payable directly by those funds. Therefore, the Client will incur higher expenses, many of which may be duplicative. In addition, the Client's overall portfolio may be affected by losses of an underlying fund and the level of risk arising from the investment practices of an underlying fund (such as the use of derivatives).</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Options and other derivatives</w:t>
      </w:r>
      <w:r w:rsidDel="00000000" w:rsidR="00000000" w:rsidRPr="00000000">
        <w:rPr>
          <w:rFonts w:ascii="Open Sans" w:cs="Open Sans" w:eastAsia="Open Sans" w:hAnsi="Open Sans"/>
          <w:sz w:val="20"/>
          <w:szCs w:val="20"/>
          <w:rtl w:val="0"/>
        </w:rPr>
        <w:t xml:space="preserve"> carry many unique risks, including time-sensitivity, and can result in the complete loss of principal. While covered call writing does provide a partial hedge to the stock against which the call is written, the hedge is limited to the amount of cash flow received when writing the option. When selling covered calls, there is a risk the underlying position may be called away at a price lower than the current market price.</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EA">
      <w:pPr>
        <w:pStyle w:val="Heading1"/>
        <w:pageBreakBefore w:val="0"/>
        <w:spacing w:after="0" w:line="240" w:lineRule="auto"/>
        <w:jc w:val="both"/>
        <w:rPr>
          <w:rFonts w:ascii="Open Sans" w:cs="Open Sans" w:eastAsia="Open Sans" w:hAnsi="Open Sans"/>
          <w:sz w:val="30"/>
          <w:szCs w:val="30"/>
        </w:rPr>
      </w:pPr>
      <w:bookmarkStart w:colFirst="0" w:colLast="0" w:name="_9fp5iwjo7hlx" w:id="37"/>
      <w:bookmarkEnd w:id="37"/>
      <w:r w:rsidDel="00000000" w:rsidR="00000000" w:rsidRPr="00000000">
        <w:rPr>
          <w:rFonts w:ascii="Open Sans" w:cs="Open Sans" w:eastAsia="Open Sans" w:hAnsi="Open Sans"/>
          <w:sz w:val="30"/>
          <w:szCs w:val="30"/>
          <w:rtl w:val="0"/>
        </w:rPr>
        <w:t xml:space="preserve">Item 9: Disciplinary Information</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rPr>
      </w:pPr>
      <w:bookmarkStart w:colFirst="0" w:colLast="0" w:name="_2jxsxqh" w:id="38"/>
      <w:bookmarkEnd w:id="38"/>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u w:val="single"/>
        </w:rPr>
      </w:pPr>
      <w:bookmarkStart w:colFirst="0" w:colLast="0" w:name="_wmyy4t5cl08q" w:id="39"/>
      <w:bookmarkEnd w:id="39"/>
      <w:r w:rsidDel="00000000" w:rsidR="00000000" w:rsidRPr="00000000">
        <w:rPr>
          <w:rFonts w:ascii="Open Sans" w:cs="Open Sans" w:eastAsia="Open Sans" w:hAnsi="Open Sans"/>
          <w:b w:val="1"/>
          <w:u w:val="single"/>
          <w:rtl w:val="0"/>
        </w:rPr>
        <w:t xml:space="preserve">Criminal or Civil Actions</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MFC and its management persons have not been involved in any criminal or civil action. </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Administrative Enforcement Proceedings</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MFC and its management persons have not been involved in any administrative enforcement proceedings.</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Self-Regulatory Organization Enforcement Proceedings</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MFC and its management persons have not been involved in any self-regulatory organization (SRO) proceedings.</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F5">
      <w:pPr>
        <w:pStyle w:val="Heading1"/>
        <w:pageBreakBefore w:val="0"/>
        <w:spacing w:after="0" w:line="240" w:lineRule="auto"/>
        <w:jc w:val="both"/>
        <w:rPr>
          <w:rFonts w:ascii="Open Sans" w:cs="Open Sans" w:eastAsia="Open Sans" w:hAnsi="Open Sans"/>
          <w:sz w:val="30"/>
          <w:szCs w:val="30"/>
        </w:rPr>
      </w:pPr>
      <w:bookmarkStart w:colFirst="0" w:colLast="0" w:name="_stct1vijj8fr" w:id="40"/>
      <w:bookmarkEnd w:id="40"/>
      <w:r w:rsidDel="00000000" w:rsidR="00000000" w:rsidRPr="00000000">
        <w:rPr>
          <w:rFonts w:ascii="Open Sans" w:cs="Open Sans" w:eastAsia="Open Sans" w:hAnsi="Open Sans"/>
          <w:sz w:val="30"/>
          <w:szCs w:val="30"/>
          <w:rtl w:val="0"/>
        </w:rPr>
        <w:t xml:space="preserve">Item 10: Other Financial Industry Activities and Affiliations</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Broker-Dealer Affiliation </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Neither MFC or its management persons is registered, or have an application pending to register, as a broker-dealer or a registered representative of a broker-dealer.</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FA">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u w:val="single"/>
          <w:rtl w:val="0"/>
        </w:rPr>
        <w:t xml:space="preserve">Other Affiliations </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Neither MFC or its management persons is registered, or have an application pending to register, as a futures commission merchant, commodity pool operator, commodity trading advisor, or an associated person of the foregoing entities.</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FD">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u w:val="single"/>
          <w:rtl w:val="0"/>
        </w:rPr>
        <w:t xml:space="preserve">Related Persons </w:t>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Neither MFC or its management persons have any relationship or arrangement with any outside financial industry related parties.</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u w:val="single"/>
        </w:rPr>
      </w:pPr>
      <w:r w:rsidDel="00000000" w:rsidR="00000000" w:rsidRPr="00000000">
        <w:rPr>
          <w:rFonts w:ascii="Open Sans" w:cs="Open Sans" w:eastAsia="Open Sans" w:hAnsi="Open Sans"/>
          <w:b w:val="1"/>
          <w:u w:val="single"/>
          <w:rtl w:val="0"/>
        </w:rPr>
        <w:t xml:space="preserve">Recommendations or Selections of Other Investment Advisers</w:t>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MFC recommends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s to Outside Managers to manage their accounts. In the event that we recommend an Outside Manager, we do not share in their advisory fee. </w:t>
      </w:r>
      <w:r w:rsidDel="00000000" w:rsidR="00000000" w:rsidRPr="00000000">
        <w:rPr>
          <w:rFonts w:ascii="Open Sans" w:cs="Open Sans" w:eastAsia="Open Sans" w:hAnsi="Open Sans"/>
          <w:sz w:val="20"/>
          <w:szCs w:val="20"/>
          <w:rtl w:val="0"/>
        </w:rPr>
        <w:t xml:space="preserve">Our fee is separate and in addition to their compensation (as noted in Item 5 of this brochure). </w:t>
      </w:r>
      <w:r w:rsidDel="00000000" w:rsidR="00000000" w:rsidRPr="00000000">
        <w:rPr>
          <w:rFonts w:ascii="Open Sans" w:cs="Open Sans" w:eastAsia="Open Sans" w:hAnsi="Open Sans"/>
          <w:sz w:val="20"/>
          <w:szCs w:val="20"/>
          <w:rtl w:val="0"/>
        </w:rPr>
        <w:t xml:space="preserve">In addition, Clients will receive a copy of the Outside Manager’s Form ADV 2A, Firm Brochure, which also describes the Outside Manager’s fee. You are not obligated, contractually or otherwise, to use the services of any Outside Manager we recommend. Moreover, MFC will only recommend an Outside Manager who is properly licensed or registered as an investment adviser.</w:t>
      </w:r>
    </w:p>
    <w:p w:rsidR="00000000" w:rsidDel="00000000" w:rsidP="00000000" w:rsidRDefault="00000000" w:rsidRPr="00000000" w14:paraId="00000102">
      <w:pPr>
        <w:pageBreakBefore w:val="0"/>
        <w:rPr>
          <w:rFonts w:ascii="Open Sans" w:cs="Open Sans" w:eastAsia="Open Sans" w:hAnsi="Open Sans"/>
          <w:color w:val="00b050"/>
          <w:sz w:val="20"/>
          <w:szCs w:val="20"/>
        </w:rPr>
      </w:pPr>
      <w:r w:rsidDel="00000000" w:rsidR="00000000" w:rsidRPr="00000000">
        <w:rPr>
          <w:rtl w:val="0"/>
        </w:rPr>
      </w:r>
    </w:p>
    <w:p w:rsidR="00000000" w:rsidDel="00000000" w:rsidP="00000000" w:rsidRDefault="00000000" w:rsidRPr="00000000" w14:paraId="00000103">
      <w:pPr>
        <w:pStyle w:val="Heading1"/>
        <w:pageBreakBefore w:val="0"/>
        <w:spacing w:after="0" w:line="240" w:lineRule="auto"/>
        <w:jc w:val="both"/>
        <w:rPr>
          <w:rFonts w:ascii="Open Sans" w:cs="Open Sans" w:eastAsia="Open Sans" w:hAnsi="Open Sans"/>
          <w:sz w:val="30"/>
          <w:szCs w:val="30"/>
        </w:rPr>
      </w:pPr>
      <w:bookmarkStart w:colFirst="0" w:colLast="0" w:name="_kk9d1pe5mb88" w:id="41"/>
      <w:bookmarkEnd w:id="41"/>
      <w:r w:rsidDel="00000000" w:rsidR="00000000" w:rsidRPr="00000000">
        <w:rPr>
          <w:rFonts w:ascii="Open Sans" w:cs="Open Sans" w:eastAsia="Open Sans" w:hAnsi="Open Sans"/>
          <w:sz w:val="30"/>
          <w:szCs w:val="30"/>
          <w:rtl w:val="0"/>
        </w:rPr>
        <w:t xml:space="preserve">Item 11: Code of Ethics, Participation or Interest in Client Transactions and Personal Trading</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sz w:val="20"/>
          <w:szCs w:val="20"/>
        </w:rPr>
      </w:pPr>
      <w:bookmarkStart w:colFirst="0" w:colLast="0" w:name="_1y810tw" w:id="42"/>
      <w:bookmarkEnd w:id="42"/>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color w:val="ce6802"/>
          <w:sz w:val="26"/>
          <w:szCs w:val="26"/>
        </w:rPr>
      </w:pPr>
      <w:bookmarkStart w:colFirst="0" w:colLast="0" w:name="_4tm81gf3bpls" w:id="43"/>
      <w:bookmarkEnd w:id="43"/>
      <w:r w:rsidDel="00000000" w:rsidR="00000000" w:rsidRPr="00000000">
        <w:rPr>
          <w:rFonts w:ascii="Open Sans" w:cs="Open Sans" w:eastAsia="Open Sans" w:hAnsi="Open Sans"/>
          <w:sz w:val="20"/>
          <w:szCs w:val="20"/>
          <w:rtl w:val="0"/>
        </w:rPr>
        <w:t xml:space="preserve">As a fiduciary, our firm has a duty of utmost good faith to act solely in the best interests of each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 Our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s entrust us with their funds and personal information, which in turn places a high standard on our conduct and integrity. Our fiduciary duty is a core aspect of our Code of Ethics and represents the expected basis of all of our dealings. The firm also accepts the obligation not only to comply with the mandates and requirements of all applicable laws and regulations but also to take responsibility to act in an ethical and professionally responsible manner in all professional services and activities. </w:t>
      </w: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Code of Ethics Description</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This Code of Ethics does not attempt to identify all possible conflicts of interest, and compliance with each of its specific provisions will not shield our firm or its access persons from liability for misconduct that violates a fiduciary duty to our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s. A summary of the Code of Ethics' Principles is outlined below.</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0A">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Integrity - Access persons shall offer and provide professional services with integrity.</w:t>
      </w:r>
    </w:p>
    <w:p w:rsidR="00000000" w:rsidDel="00000000" w:rsidP="00000000" w:rsidRDefault="00000000" w:rsidRPr="00000000" w14:paraId="0000010B">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Objectivity - Access persons shall be objective in providing professional services to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s. </w:t>
      </w:r>
    </w:p>
    <w:p w:rsidR="00000000" w:rsidDel="00000000" w:rsidP="00000000" w:rsidRDefault="00000000" w:rsidRPr="00000000" w14:paraId="0000010C">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Competence - Access persons shall provide services to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s competently and maintain the necessary knowledge and skill to continue to do so in those areas in which they are engaged.</w:t>
      </w:r>
    </w:p>
    <w:p w:rsidR="00000000" w:rsidDel="00000000" w:rsidP="00000000" w:rsidRDefault="00000000" w:rsidRPr="00000000" w14:paraId="0000010D">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Fairness - Access persons shall perform professional services in a manner that is fair and reasonable to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s, principals, partners, and employers, and shall disclose conflict(s) of interest in providing such services.</w:t>
      </w:r>
    </w:p>
    <w:p w:rsidR="00000000" w:rsidDel="00000000" w:rsidP="00000000" w:rsidRDefault="00000000" w:rsidRPr="00000000" w14:paraId="0000010E">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Confidentiality - Access persons shall not disclose confidential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 information without the specific consent of the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 unless in response to proper legal process, or as required by law.</w:t>
      </w:r>
    </w:p>
    <w:p w:rsidR="00000000" w:rsidDel="00000000" w:rsidP="00000000" w:rsidRDefault="00000000" w:rsidRPr="00000000" w14:paraId="0000010F">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Professionalism - Access persons conduct in all matters shall reflect the credit of the profession.</w:t>
      </w:r>
    </w:p>
    <w:p w:rsidR="00000000" w:rsidDel="00000000" w:rsidP="00000000" w:rsidRDefault="00000000" w:rsidRPr="00000000" w14:paraId="00000110">
      <w:pPr>
        <w:pageBreakBefore w:val="0"/>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Diligence - Access persons shall act diligently in providing professional services.</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periodically review and amend our Code of Ethics to ensure that it remains current, and we require all firm access persons to attest to their understanding of and adherence to the Code of Ethics at least annually. Our firm will provide a copy of its Code of Ethics to any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 or prospective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 upon request.</w:t>
      </w:r>
    </w:p>
    <w:p w:rsidR="00000000" w:rsidDel="00000000" w:rsidP="00000000" w:rsidRDefault="00000000" w:rsidRPr="00000000" w14:paraId="00000113">
      <w:pPr>
        <w:pageBreakBefore w:val="0"/>
        <w:spacing w:after="0" w:line="240" w:lineRule="auto"/>
        <w:jc w:val="both"/>
        <w:rPr>
          <w:rFonts w:ascii="Open Sans" w:cs="Open Sans" w:eastAsia="Open Sans" w:hAnsi="Open Sans"/>
          <w:b w:val="1"/>
        </w:rPr>
      </w:pPr>
      <w:bookmarkStart w:colFirst="0" w:colLast="0" w:name="_4i7ojhp" w:id="44"/>
      <w:bookmarkEnd w:id="44"/>
      <w:r w:rsidDel="00000000" w:rsidR="00000000" w:rsidRPr="00000000">
        <w:rPr>
          <w:rtl w:val="0"/>
        </w:rPr>
      </w:r>
    </w:p>
    <w:p w:rsidR="00000000" w:rsidDel="00000000" w:rsidP="00000000" w:rsidRDefault="00000000" w:rsidRPr="00000000" w14:paraId="00000114">
      <w:pPr>
        <w:pageBreakBefore w:val="0"/>
        <w:spacing w:after="0" w:line="240" w:lineRule="auto"/>
        <w:jc w:val="both"/>
        <w:rPr>
          <w:rFonts w:ascii="Open Sans" w:cs="Open Sans" w:eastAsia="Open Sans" w:hAnsi="Open Sans"/>
          <w:b w:val="1"/>
          <w:u w:val="single"/>
        </w:rPr>
      </w:pPr>
      <w:bookmarkStart w:colFirst="0" w:colLast="0" w:name="_8y60boenl0to" w:id="45"/>
      <w:bookmarkEnd w:id="45"/>
      <w:r w:rsidDel="00000000" w:rsidR="00000000" w:rsidRPr="00000000">
        <w:rPr>
          <w:rFonts w:ascii="Open Sans" w:cs="Open Sans" w:eastAsia="Open Sans" w:hAnsi="Open Sans"/>
          <w:b w:val="1"/>
          <w:u w:val="single"/>
          <w:rtl w:val="0"/>
        </w:rPr>
        <w:t xml:space="preserve">Investment Recommendations Involving a Material Financial Interest and Conflicts of Interest</w:t>
      </w:r>
    </w:p>
    <w:p w:rsidR="00000000" w:rsidDel="00000000" w:rsidP="00000000" w:rsidRDefault="00000000" w:rsidRPr="00000000" w14:paraId="00000115">
      <w:pPr>
        <w:pageBreakBefore w:val="0"/>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Neither our firm, its access persons, or any related person is authorized to recommend to a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 or effect a transaction for a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 involving any security in which our firm or a related person has a material financial interest, such as in the capacity as an underwriter, adviser to the issuer, principal transaction, among others. </w:t>
      </w:r>
    </w:p>
    <w:p w:rsidR="00000000" w:rsidDel="00000000" w:rsidP="00000000" w:rsidRDefault="00000000" w:rsidRPr="00000000" w14:paraId="00000116">
      <w:pPr>
        <w:pageBreakBefore w:val="0"/>
        <w:spacing w:after="0" w:line="240" w:lineRule="auto"/>
        <w:jc w:val="both"/>
        <w:rPr>
          <w:rFonts w:ascii="Open Sans" w:cs="Open Sans" w:eastAsia="Open Sans" w:hAnsi="Open Sans"/>
          <w:b w:val="1"/>
        </w:rPr>
      </w:pPr>
      <w:bookmarkStart w:colFirst="0" w:colLast="0" w:name="_2xcytpi" w:id="46"/>
      <w:bookmarkEnd w:id="46"/>
      <w:r w:rsidDel="00000000" w:rsidR="00000000" w:rsidRPr="00000000">
        <w:rPr>
          <w:rtl w:val="0"/>
        </w:rPr>
      </w:r>
    </w:p>
    <w:p w:rsidR="00000000" w:rsidDel="00000000" w:rsidP="00000000" w:rsidRDefault="00000000" w:rsidRPr="00000000" w14:paraId="00000117">
      <w:pPr>
        <w:pageBreakBefore w:val="0"/>
        <w:spacing w:after="0" w:line="240" w:lineRule="auto"/>
        <w:jc w:val="both"/>
        <w:rPr>
          <w:rFonts w:ascii="Open Sans" w:cs="Open Sans" w:eastAsia="Open Sans" w:hAnsi="Open Sans"/>
          <w:b w:val="1"/>
          <w:u w:val="single"/>
        </w:rPr>
      </w:pPr>
      <w:bookmarkStart w:colFirst="0" w:colLast="0" w:name="_d98t32alj5pt" w:id="47"/>
      <w:bookmarkEnd w:id="47"/>
      <w:r w:rsidDel="00000000" w:rsidR="00000000" w:rsidRPr="00000000">
        <w:rPr>
          <w:rFonts w:ascii="Open Sans" w:cs="Open Sans" w:eastAsia="Open Sans" w:hAnsi="Open Sans"/>
          <w:b w:val="1"/>
          <w:u w:val="single"/>
          <w:rtl w:val="0"/>
        </w:rPr>
        <w:t xml:space="preserve">Advisory Firm Purchase of Same Securities Recommended to Clients and Conflicts of Interest</w:t>
      </w:r>
      <w:r w:rsidDel="00000000" w:rsidR="00000000" w:rsidRPr="00000000">
        <w:rPr>
          <w:rtl w:val="0"/>
        </w:rPr>
      </w:r>
    </w:p>
    <w:p w:rsidR="00000000" w:rsidDel="00000000" w:rsidP="00000000" w:rsidRDefault="00000000" w:rsidRPr="00000000" w14:paraId="00000118">
      <w:pPr>
        <w:pageBreakBefore w:val="0"/>
        <w:spacing w:after="0" w:line="240" w:lineRule="auto"/>
        <w:jc w:val="both"/>
        <w:rPr>
          <w:rFonts w:ascii="Open Sans" w:cs="Open Sans" w:eastAsia="Open Sans" w:hAnsi="Open Sans"/>
          <w:b w:val="1"/>
          <w:sz w:val="26"/>
          <w:szCs w:val="26"/>
        </w:rPr>
      </w:pPr>
      <w:r w:rsidDel="00000000" w:rsidR="00000000" w:rsidRPr="00000000">
        <w:rPr>
          <w:rFonts w:ascii="Open Sans" w:cs="Open Sans" w:eastAsia="Open Sans" w:hAnsi="Open Sans"/>
          <w:sz w:val="20"/>
          <w:szCs w:val="20"/>
          <w:rtl w:val="0"/>
        </w:rPr>
        <w:t xml:space="preserve">Our firm, its access persons, and its related persons do not buy or sell securities similar to those we recommend to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s.</w:t>
      </w:r>
      <w:r w:rsidDel="00000000" w:rsidR="00000000" w:rsidRPr="00000000">
        <w:rPr>
          <w:rtl w:val="0"/>
        </w:rPr>
      </w:r>
    </w:p>
    <w:p w:rsidR="00000000" w:rsidDel="00000000" w:rsidP="00000000" w:rsidRDefault="00000000" w:rsidRPr="00000000" w14:paraId="00000119">
      <w:pPr>
        <w:pageBreakBefore w:val="0"/>
        <w:spacing w:after="0"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1A">
      <w:pPr>
        <w:pageBreakBefore w:val="0"/>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b w:val="1"/>
          <w:u w:val="single"/>
          <w:rtl w:val="0"/>
        </w:rPr>
        <w:t xml:space="preserve">Trading Securities At/Around the Same Time as Client’s Securities</w:t>
      </w:r>
      <w:r w:rsidDel="00000000" w:rsidR="00000000" w:rsidRPr="00000000">
        <w:rPr>
          <w:rtl w:val="0"/>
        </w:rPr>
      </w:r>
    </w:p>
    <w:p w:rsidR="00000000" w:rsidDel="00000000" w:rsidP="00000000" w:rsidRDefault="00000000" w:rsidRPr="00000000" w14:paraId="0000011B">
      <w:pPr>
        <w:pageBreakBefore w:val="0"/>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Neither our firm or its related persons buys or sells securities for client accounts at or about the same time that we or a related person buys or sells the same securities for our own accounts. </w:t>
      </w:r>
    </w:p>
    <w:p w:rsidR="00000000" w:rsidDel="00000000" w:rsidP="00000000" w:rsidRDefault="00000000" w:rsidRPr="00000000" w14:paraId="0000011C">
      <w:pPr>
        <w:pageBreakBefore w:val="0"/>
        <w:spacing w:after="0" w:line="240" w:lineRule="auto"/>
        <w:jc w:val="both"/>
        <w:rPr>
          <w:rFonts w:ascii="Open Sans" w:cs="Open Sans" w:eastAsia="Open Sans" w:hAnsi="Open Sans"/>
          <w:color w:val="0070c0"/>
          <w:sz w:val="20"/>
          <w:szCs w:val="20"/>
        </w:rPr>
      </w:pPr>
      <w:r w:rsidDel="00000000" w:rsidR="00000000" w:rsidRPr="00000000">
        <w:rPr>
          <w:rtl w:val="0"/>
        </w:rPr>
      </w:r>
    </w:p>
    <w:p w:rsidR="00000000" w:rsidDel="00000000" w:rsidP="00000000" w:rsidRDefault="00000000" w:rsidRPr="00000000" w14:paraId="0000011D">
      <w:pPr>
        <w:pStyle w:val="Heading1"/>
        <w:pageBreakBefore w:val="0"/>
        <w:spacing w:after="0" w:line="240" w:lineRule="auto"/>
        <w:jc w:val="both"/>
        <w:rPr>
          <w:rFonts w:ascii="Open Sans" w:cs="Open Sans" w:eastAsia="Open Sans" w:hAnsi="Open Sans"/>
          <w:sz w:val="30"/>
          <w:szCs w:val="30"/>
        </w:rPr>
      </w:pPr>
      <w:bookmarkStart w:colFirst="0" w:colLast="0" w:name="_dkhftn3y4ax1" w:id="48"/>
      <w:bookmarkEnd w:id="48"/>
      <w:r w:rsidDel="00000000" w:rsidR="00000000" w:rsidRPr="00000000">
        <w:rPr>
          <w:rFonts w:ascii="Open Sans" w:cs="Open Sans" w:eastAsia="Open Sans" w:hAnsi="Open Sans"/>
          <w:sz w:val="30"/>
          <w:szCs w:val="30"/>
          <w:rtl w:val="0"/>
        </w:rPr>
        <w:t xml:space="preserve">Item 12: Brokerage Practices</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rPr>
      </w:pPr>
      <w:bookmarkStart w:colFirst="0" w:colLast="0" w:name="_3whwml4" w:id="49"/>
      <w:bookmarkEnd w:id="49"/>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u w:val="single"/>
        </w:rPr>
      </w:pPr>
      <w:bookmarkStart w:colFirst="0" w:colLast="0" w:name="_ab0wtc5nc6lk" w:id="50"/>
      <w:bookmarkEnd w:id="50"/>
      <w:r w:rsidDel="00000000" w:rsidR="00000000" w:rsidRPr="00000000">
        <w:rPr>
          <w:rFonts w:ascii="Open Sans" w:cs="Open Sans" w:eastAsia="Open Sans" w:hAnsi="Open Sans"/>
          <w:b w:val="1"/>
          <w:u w:val="single"/>
          <w:rtl w:val="0"/>
        </w:rPr>
        <w:t xml:space="preserve">Factors Used to Select Custodians</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color w:val="0070c0"/>
          <w:sz w:val="20"/>
          <w:szCs w:val="20"/>
        </w:rPr>
      </w:pPr>
      <w:r w:rsidDel="00000000" w:rsidR="00000000" w:rsidRPr="00000000">
        <w:rPr>
          <w:rtl w:val="0"/>
        </w:rPr>
      </w:r>
    </w:p>
    <w:p w:rsidR="00000000" w:rsidDel="00000000" w:rsidP="00000000" w:rsidRDefault="00000000" w:rsidRPr="00000000" w14:paraId="00000121">
      <w:pPr>
        <w:pageBreakBefore w:val="0"/>
        <w:spacing w:after="20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 recommending custodians, we have an obligation to seek the “best execution” of transactions in Client accounts. The determinative factor in the analysis of best execution is not the lowest possible commission cost, but whether the transaction represents the best qualitative execution, taking into consideration the full range of the custodian’s services. The factors we consider when evaluating a custodian for best execution include, without limitation, the custodian’s:  </w:t>
      </w:r>
    </w:p>
    <w:p w:rsidR="00000000" w:rsidDel="00000000" w:rsidP="00000000" w:rsidRDefault="00000000" w:rsidRPr="00000000" w14:paraId="00000122">
      <w:pPr>
        <w:numPr>
          <w:ilvl w:val="0"/>
          <w:numId w:val="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Combination of transaction execution services and asset custody services (generally without a separate fee for custody);</w:t>
      </w:r>
    </w:p>
    <w:p w:rsidR="00000000" w:rsidDel="00000000" w:rsidP="00000000" w:rsidRDefault="00000000" w:rsidRPr="00000000" w14:paraId="00000123">
      <w:pPr>
        <w:numPr>
          <w:ilvl w:val="0"/>
          <w:numId w:val="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Capability to execute, clear, and settle trades (buy and sell securities for your account);</w:t>
      </w:r>
    </w:p>
    <w:p w:rsidR="00000000" w:rsidDel="00000000" w:rsidP="00000000" w:rsidRDefault="00000000" w:rsidRPr="00000000" w14:paraId="00000124">
      <w:pPr>
        <w:numPr>
          <w:ilvl w:val="0"/>
          <w:numId w:val="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Capability to facilitate transfers and payments to and from accounts (wire transfers, check requests, bill payment, etc.);</w:t>
      </w:r>
    </w:p>
    <w:p w:rsidR="00000000" w:rsidDel="00000000" w:rsidP="00000000" w:rsidRDefault="00000000" w:rsidRPr="00000000" w14:paraId="00000125">
      <w:pPr>
        <w:numPr>
          <w:ilvl w:val="0"/>
          <w:numId w:val="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Breadth of available investment products (stocks, bonds, mutual funds, exchange-traded funds (ETFs), etc.);</w:t>
      </w:r>
    </w:p>
    <w:p w:rsidR="00000000" w:rsidDel="00000000" w:rsidP="00000000" w:rsidRDefault="00000000" w:rsidRPr="00000000" w14:paraId="00000126">
      <w:pPr>
        <w:numPr>
          <w:ilvl w:val="0"/>
          <w:numId w:val="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Availability of investment research and tools that assist us in making investment decisions;</w:t>
      </w:r>
    </w:p>
    <w:p w:rsidR="00000000" w:rsidDel="00000000" w:rsidP="00000000" w:rsidRDefault="00000000" w:rsidRPr="00000000" w14:paraId="00000127">
      <w:pPr>
        <w:numPr>
          <w:ilvl w:val="0"/>
          <w:numId w:val="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Quality of services;</w:t>
      </w:r>
    </w:p>
    <w:p w:rsidR="00000000" w:rsidDel="00000000" w:rsidP="00000000" w:rsidRDefault="00000000" w:rsidRPr="00000000" w14:paraId="00000128">
      <w:pPr>
        <w:numPr>
          <w:ilvl w:val="0"/>
          <w:numId w:val="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Competitiveness of the price of those services (commission rates, margin interest rates, other fees, etc.) and willingness to negotiate the prices;</w:t>
      </w:r>
    </w:p>
    <w:p w:rsidR="00000000" w:rsidDel="00000000" w:rsidP="00000000" w:rsidRDefault="00000000" w:rsidRPr="00000000" w14:paraId="00000129">
      <w:pPr>
        <w:numPr>
          <w:ilvl w:val="0"/>
          <w:numId w:val="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Reputation, financial strength, security and stability;</w:t>
      </w:r>
    </w:p>
    <w:p w:rsidR="00000000" w:rsidDel="00000000" w:rsidP="00000000" w:rsidRDefault="00000000" w:rsidRPr="00000000" w14:paraId="0000012A">
      <w:pPr>
        <w:numPr>
          <w:ilvl w:val="0"/>
          <w:numId w:val="1"/>
        </w:numPr>
        <w:spacing w:after="0" w:line="276"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Prior service to us and our clients.</w:t>
      </w:r>
    </w:p>
    <w:p w:rsidR="00000000" w:rsidDel="00000000" w:rsidP="00000000" w:rsidRDefault="00000000" w:rsidRPr="00000000" w14:paraId="0000012B">
      <w:pPr>
        <w:pageBreakBefore w:val="0"/>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2C">
      <w:pPr>
        <w:pageBreakBefore w:val="0"/>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With this in consideration, our firm recommends Altruist Financial LLC (“Altruist”)</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sz w:val="20"/>
          <w:szCs w:val="20"/>
          <w:rtl w:val="0"/>
        </w:rPr>
        <w:t xml:space="preserve"> an independent and unaffiliated SEC registered broker-dealer firm and member of the Financial Industry Regulatory Authority (“FINRA”) and the Securities Investor Protection Corporation (“SIPC”). </w:t>
      </w: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Research and Other Soft-Dollar Benefits</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color w:val="00b050"/>
          <w:sz w:val="20"/>
          <w:szCs w:val="20"/>
        </w:rPr>
      </w:pPr>
      <w:r w:rsidDel="00000000" w:rsidR="00000000" w:rsidRPr="00000000">
        <w:rPr>
          <w:rFonts w:ascii="Open Sans" w:cs="Open Sans" w:eastAsia="Open Sans" w:hAnsi="Open Sans"/>
          <w:sz w:val="20"/>
          <w:szCs w:val="20"/>
          <w:rtl w:val="0"/>
        </w:rPr>
        <w:t xml:space="preserve">We do not have any soft-dollar arrangements with custodians whereby soft-dollar credits, used to purchase products and services, are earned directly in proportion to the amount of commissions paid by a Client. However, as a result of being on their institutional platform, </w:t>
      </w:r>
      <w:r w:rsidDel="00000000" w:rsidR="00000000" w:rsidRPr="00000000">
        <w:rPr>
          <w:rFonts w:ascii="Open Sans" w:cs="Open Sans" w:eastAsia="Open Sans" w:hAnsi="Open Sans"/>
          <w:sz w:val="20"/>
          <w:szCs w:val="20"/>
          <w:rtl w:val="0"/>
        </w:rPr>
        <w:t xml:space="preserve">Altruist</w:t>
      </w:r>
      <w:r w:rsidDel="00000000" w:rsidR="00000000" w:rsidRPr="00000000">
        <w:rPr>
          <w:rFonts w:ascii="Open Sans" w:cs="Open Sans" w:eastAsia="Open Sans" w:hAnsi="Open Sans"/>
          <w:sz w:val="20"/>
          <w:szCs w:val="20"/>
          <w:rtl w:val="0"/>
        </w:rPr>
        <w:t xml:space="preserve"> may provide us with certain services that may benefit us.</w:t>
      </w: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31">
      <w:pPr>
        <w:jc w:val="both"/>
        <w:rPr>
          <w:rFonts w:ascii="Open Sans" w:cs="Open Sans" w:eastAsia="Open Sans" w:hAnsi="Open Sans"/>
          <w:b w:val="1"/>
        </w:rPr>
      </w:pPr>
      <w:r w:rsidDel="00000000" w:rsidR="00000000" w:rsidRPr="00000000">
        <w:rPr>
          <w:rFonts w:ascii="Open Sans" w:cs="Open Sans" w:eastAsia="Open Sans" w:hAnsi="Open Sans"/>
          <w:sz w:val="20"/>
          <w:szCs w:val="20"/>
          <w:rtl w:val="0"/>
        </w:rPr>
        <w:t xml:space="preserve">MFC offers investment advisory services through the custodial platform offered by Altruist Financial LLC, an unaffiliated SEC-registered broker-dealer and FINRA/SIPC member (“Altruist”). MFC’s Clients establish brokerage accounts through Altruist. MFC maintains an institutional relationship with Altruist whereby Altruist provides certain benefits to MFC, including a fully digital account opening process, a variety of available investments, and integration with software tools that can benefit MFC and its Clients.</w:t>
      </w: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Brokerage for Client Referrals</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receive no referrals from a custodian, broker-dealer or third party in exchange for using that custodian, broker-dealer or third party.</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Clients Directing Which Broker/Dealer/Custodian to Use</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sz w:val="20"/>
          <w:szCs w:val="20"/>
        </w:rPr>
      </w:pPr>
      <w:bookmarkStart w:colFirst="0" w:colLast="0" w:name="_a6uxqaj8sx2w" w:id="51"/>
      <w:bookmarkEnd w:id="51"/>
      <w:r w:rsidDel="00000000" w:rsidR="00000000" w:rsidRPr="00000000">
        <w:rPr>
          <w:rFonts w:ascii="Open Sans" w:cs="Open Sans" w:eastAsia="Open Sans" w:hAnsi="Open Sans"/>
          <w:sz w:val="20"/>
          <w:szCs w:val="20"/>
          <w:rtl w:val="0"/>
        </w:rPr>
        <w:t xml:space="preserve">Our firm </w:t>
      </w:r>
      <w:r w:rsidDel="00000000" w:rsidR="00000000" w:rsidRPr="00000000">
        <w:rPr>
          <w:rFonts w:ascii="Open Sans" w:cs="Open Sans" w:eastAsia="Open Sans" w:hAnsi="Open Sans"/>
          <w:sz w:val="20"/>
          <w:szCs w:val="20"/>
          <w:rtl w:val="0"/>
        </w:rPr>
        <w:t xml:space="preserve">recommends</w:t>
      </w:r>
      <w:r w:rsidDel="00000000" w:rsidR="00000000" w:rsidRPr="00000000">
        <w:rPr>
          <w:rFonts w:ascii="Open Sans" w:cs="Open Sans" w:eastAsia="Open Sans" w:hAnsi="Open Sans"/>
          <w:sz w:val="20"/>
          <w:szCs w:val="20"/>
          <w:rtl w:val="0"/>
        </w:rPr>
        <w:t xml:space="preserve"> Clients establish account(s) at Altruist to execute transactions through. We will assist with establishing your account(s) at Altruist, however, we will not have the authority to open accounts on the Client's behalf. Not all investment advisers require their Clients to use their recommended custodian. By recommending that Clients use Altruist, we may be unable to achieve most favorable execution of Client transactions, and this practice may cost Clients more money. We base our recommendations on the factors disclosed in Item 12 herein and will only recommend custodians if we believe it's in the best interest of the Client.</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sz w:val="20"/>
          <w:szCs w:val="20"/>
        </w:rPr>
      </w:pPr>
      <w:bookmarkStart w:colFirst="0" w:colLast="0" w:name="_qeda1lqtjg7f" w:id="52"/>
      <w:bookmarkEnd w:id="52"/>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sz w:val="20"/>
          <w:szCs w:val="20"/>
        </w:rPr>
      </w:pPr>
      <w:bookmarkStart w:colFirst="0" w:colLast="0" w:name="_af2o7fonsybb" w:id="53"/>
      <w:bookmarkEnd w:id="53"/>
      <w:r w:rsidDel="00000000" w:rsidR="00000000" w:rsidRPr="00000000">
        <w:rPr>
          <w:rFonts w:ascii="Open Sans" w:cs="Open Sans" w:eastAsia="Open Sans" w:hAnsi="Open Sans"/>
          <w:sz w:val="20"/>
          <w:szCs w:val="20"/>
          <w:rtl w:val="0"/>
        </w:rPr>
        <w:t xml:space="preserve">If Clients do not wish to utilize our recommended custodian, we permit Clients to direct brokerage. We will be added to your account through a limited trading authority. However, due to restraints from not having access to an institutional platform, we are unable to achieve most favorable execution of Client transactions. Clients directing brokerage may cost Clients more money. For example, in a directed brokerage account, the Client may pay higher brokerage commissions because we may not be able to aggregate orders to reduce transaction costs, or the Client may receive a higher transaction price at their selected custodian versus our recommended custodian.</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Aggregating (Block) Trading for Multiple Client Accounts</w:t>
      </w:r>
    </w:p>
    <w:p w:rsidR="00000000" w:rsidDel="00000000" w:rsidP="00000000" w:rsidRDefault="00000000" w:rsidRPr="00000000" w14:paraId="0000013B">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Aggregating orders, batch trading, or block trading is a process where trades for the same securities are purchased or sold for several clients at approximately the same time. We do not engage in block trading. It should be noted that implementing trades on a block or aggregate basis may be less expensive for client accounts; however, it is our trading policy to implement all client orders on an individual basis. Therefore, we do not aggregate or “block” client transactions. Considering the types of investments we hold in advisory client accounts, we do not believe clients are hindered in any way because we trade accounts individually. This is because we develop individualized investment strategies for clients and holdings will vary. Our strategies are primarily developed for the long-term and minor differences in price execution are not material to our overall investment strategy.</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Outside Managers used by MFC may block Client trades at their discretion. Their specific practices are further discussed in their ADV Part 2A, Item 12.</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3F">
      <w:pPr>
        <w:pStyle w:val="Heading1"/>
        <w:pageBreakBefore w:val="0"/>
        <w:spacing w:after="0" w:line="240" w:lineRule="auto"/>
        <w:rPr>
          <w:rFonts w:ascii="Open Sans" w:cs="Open Sans" w:eastAsia="Open Sans" w:hAnsi="Open Sans"/>
          <w:sz w:val="30"/>
          <w:szCs w:val="30"/>
        </w:rPr>
      </w:pPr>
      <w:bookmarkStart w:colFirst="0" w:colLast="0" w:name="_ljzbnsrc1asl" w:id="54"/>
      <w:bookmarkEnd w:id="54"/>
      <w:r w:rsidDel="00000000" w:rsidR="00000000" w:rsidRPr="00000000">
        <w:rPr>
          <w:rFonts w:ascii="Open Sans" w:cs="Open Sans" w:eastAsia="Open Sans" w:hAnsi="Open Sans"/>
          <w:sz w:val="30"/>
          <w:szCs w:val="30"/>
          <w:rtl w:val="0"/>
        </w:rPr>
        <w:t xml:space="preserve">Item 13: Review of Accounts</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41">
      <w:pPr>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b w:val="1"/>
          <w:u w:val="single"/>
          <w:rtl w:val="0"/>
        </w:rPr>
        <w:t xml:space="preserve">Periodic Reviews</w:t>
      </w: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Ryan Mende, CEO and CCO of MFC, will work with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s to obtain current information regarding their assets and investment holdings and will review this information as part of our financial planning services. MFC does not provide specific reports to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s, other than financial plans.</w:t>
      </w:r>
      <w:r w:rsidDel="00000000" w:rsidR="00000000" w:rsidRPr="00000000">
        <w:rPr>
          <w:rFonts w:ascii="Open Sans" w:cs="Open Sans" w:eastAsia="Open Sans" w:hAnsi="Open Sans"/>
          <w:sz w:val="20"/>
          <w:szCs w:val="20"/>
          <w:rtl w:val="0"/>
        </w:rPr>
        <w:t xml:space="preserve"> Clients who engage us for investment management services will have their account(s) reviewed regularly on a quarterly basis by</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Ryan Mende, CEO and CCO</w:t>
      </w:r>
      <w:r w:rsidDel="00000000" w:rsidR="00000000" w:rsidRPr="00000000">
        <w:rPr>
          <w:rFonts w:ascii="Open Sans" w:cs="Open Sans" w:eastAsia="Open Sans" w:hAnsi="Open Sans"/>
          <w:sz w:val="20"/>
          <w:szCs w:val="20"/>
          <w:rtl w:val="0"/>
        </w:rPr>
        <w:t xml:space="preserve">. The account(s) are reviewed with regards to the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’s investment objectives and risk tolerance levels. </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color w:val="00b050"/>
          <w:sz w:val="20"/>
          <w:szCs w:val="20"/>
        </w:rPr>
      </w:pPr>
      <w:r w:rsidDel="00000000" w:rsidR="00000000" w:rsidRPr="00000000">
        <w:rPr>
          <w:rtl w:val="0"/>
        </w:rPr>
      </w:r>
    </w:p>
    <w:p w:rsidR="00000000" w:rsidDel="00000000" w:rsidP="00000000" w:rsidRDefault="00000000" w:rsidRPr="00000000" w14:paraId="00000144">
      <w:pPr>
        <w:spacing w:after="0" w:line="240" w:lineRule="auto"/>
        <w:rPr>
          <w:rFonts w:ascii="Open Sans" w:cs="Open Sans" w:eastAsia="Open Sans" w:hAnsi="Open Sans"/>
          <w:color w:val="00b050"/>
          <w:sz w:val="20"/>
          <w:szCs w:val="20"/>
        </w:rPr>
      </w:pPr>
      <w:r w:rsidDel="00000000" w:rsidR="00000000" w:rsidRPr="00000000">
        <w:rPr>
          <w:rFonts w:ascii="Open Sans" w:cs="Open Sans" w:eastAsia="Open Sans" w:hAnsi="Open Sans"/>
          <w:b w:val="1"/>
          <w:u w:val="single"/>
          <w:rtl w:val="0"/>
        </w:rPr>
        <w:t xml:space="preserve">Triggers of Reviews</w:t>
      </w:r>
      <w:r w:rsidDel="00000000" w:rsidR="00000000" w:rsidRPr="00000000">
        <w:rPr>
          <w:rtl w:val="0"/>
        </w:rPr>
      </w:r>
    </w:p>
    <w:p w:rsidR="00000000" w:rsidDel="00000000" w:rsidP="00000000" w:rsidRDefault="00000000" w:rsidRPr="00000000" w14:paraId="00000145">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Events that may trigger a special review would be unusual performance, addition or deletions of Client-imposed restrictions, excessive draw-down, volatility in performance, or buy and sell decisions from the firm or per Client's needs.</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color w:val="00b050"/>
          <w:sz w:val="20"/>
          <w:szCs w:val="20"/>
        </w:rPr>
      </w:pPr>
      <w:r w:rsidDel="00000000" w:rsidR="00000000" w:rsidRPr="00000000">
        <w:rPr>
          <w:rtl w:val="0"/>
        </w:rPr>
      </w:r>
    </w:p>
    <w:p w:rsidR="00000000" w:rsidDel="00000000" w:rsidP="00000000" w:rsidRDefault="00000000" w:rsidRPr="00000000" w14:paraId="00000147">
      <w:pPr>
        <w:spacing w:after="0" w:line="240" w:lineRule="auto"/>
        <w:rPr>
          <w:rFonts w:ascii="Open Sans" w:cs="Open Sans" w:eastAsia="Open Sans" w:hAnsi="Open Sans"/>
          <w:color w:val="00b050"/>
          <w:sz w:val="20"/>
          <w:szCs w:val="20"/>
        </w:rPr>
      </w:pPr>
      <w:r w:rsidDel="00000000" w:rsidR="00000000" w:rsidRPr="00000000">
        <w:rPr>
          <w:rFonts w:ascii="Open Sans" w:cs="Open Sans" w:eastAsia="Open Sans" w:hAnsi="Open Sans"/>
          <w:b w:val="1"/>
          <w:u w:val="single"/>
          <w:rtl w:val="0"/>
        </w:rPr>
        <w:t xml:space="preserve">Review Reports</w:t>
      </w: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color w:val="0070c0"/>
          <w:sz w:val="20"/>
          <w:szCs w:val="20"/>
        </w:rPr>
      </w:pPr>
      <w:r w:rsidDel="00000000" w:rsidR="00000000" w:rsidRPr="00000000">
        <w:rPr>
          <w:rFonts w:ascii="Open Sans" w:cs="Open Sans" w:eastAsia="Open Sans" w:hAnsi="Open Sans"/>
          <w:sz w:val="20"/>
          <w:szCs w:val="20"/>
          <w:rtl w:val="0"/>
        </w:rPr>
        <w:t xml:space="preserve">Clients will receive trade confirmations from the custodian(s) for each transaction in their accounts as well as monthly or quarterly statements and annual tax reporting statements from their custodian showing all activity in the accounts, such as receipt of dividends and interest. </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color w:val="00b050"/>
          <w:sz w:val="20"/>
          <w:szCs w:val="20"/>
        </w:rPr>
      </w:pPr>
      <w:r w:rsidDel="00000000" w:rsidR="00000000" w:rsidRPr="00000000">
        <w:rPr>
          <w:rFonts w:ascii="Open Sans" w:cs="Open Sans" w:eastAsia="Open Sans" w:hAnsi="Open Sans"/>
          <w:sz w:val="20"/>
          <w:szCs w:val="20"/>
          <w:rtl w:val="0"/>
        </w:rPr>
        <w:t xml:space="preserve">MFC does not provide written performance or holdings reports to Investment Management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s outside of what is provided directly by their custodian.</w:t>
      </w:r>
      <w:r w:rsidDel="00000000" w:rsidR="00000000" w:rsidRPr="00000000">
        <w:rPr>
          <w:rFonts w:ascii="Open Sans" w:cs="Open Sans" w:eastAsia="Open Sans" w:hAnsi="Open Sans"/>
          <w:color w:val="00b050"/>
          <w:sz w:val="20"/>
          <w:szCs w:val="20"/>
          <w:rtl w:val="0"/>
        </w:rPr>
        <w:t xml:space="preserve"> </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color w:val="00b050"/>
          <w:sz w:val="20"/>
          <w:szCs w:val="20"/>
        </w:rPr>
      </w:pPr>
      <w:r w:rsidDel="00000000" w:rsidR="00000000" w:rsidRPr="00000000">
        <w:rPr>
          <w:rtl w:val="0"/>
        </w:rPr>
      </w:r>
    </w:p>
    <w:p w:rsidR="00000000" w:rsidDel="00000000" w:rsidP="00000000" w:rsidRDefault="00000000" w:rsidRPr="00000000" w14:paraId="0000014C">
      <w:pPr>
        <w:pStyle w:val="Heading1"/>
        <w:pageBreakBefore w:val="0"/>
        <w:spacing w:after="0" w:line="240" w:lineRule="auto"/>
        <w:rPr>
          <w:rFonts w:ascii="Open Sans" w:cs="Open Sans" w:eastAsia="Open Sans" w:hAnsi="Open Sans"/>
          <w:sz w:val="30"/>
          <w:szCs w:val="30"/>
        </w:rPr>
      </w:pPr>
      <w:bookmarkStart w:colFirst="0" w:colLast="0" w:name="_7715bl8s1no" w:id="55"/>
      <w:bookmarkEnd w:id="55"/>
      <w:r w:rsidDel="00000000" w:rsidR="00000000" w:rsidRPr="00000000">
        <w:rPr>
          <w:rFonts w:ascii="Open Sans" w:cs="Open Sans" w:eastAsia="Open Sans" w:hAnsi="Open Sans"/>
          <w:sz w:val="30"/>
          <w:szCs w:val="30"/>
          <w:rtl w:val="0"/>
        </w:rPr>
        <w:t xml:space="preserve">Item 14: Client Referrals and Other Compensation</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Compensation Received by Mende Financial Council, Inc. </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MFC</w:t>
      </w:r>
      <w:r w:rsidDel="00000000" w:rsidR="00000000" w:rsidRPr="00000000">
        <w:rPr>
          <w:rFonts w:ascii="Open Sans" w:cs="Open Sans" w:eastAsia="Open Sans" w:hAnsi="Open Sans"/>
          <w:sz w:val="20"/>
          <w:szCs w:val="20"/>
          <w:rtl w:val="0"/>
        </w:rPr>
        <w:t xml:space="preserve"> is a fee-only firm that is compensated solely by its Clients. </w:t>
      </w:r>
      <w:r w:rsidDel="00000000" w:rsidR="00000000" w:rsidRPr="00000000">
        <w:rPr>
          <w:rFonts w:ascii="Open Sans" w:cs="Open Sans" w:eastAsia="Open Sans" w:hAnsi="Open Sans"/>
          <w:sz w:val="20"/>
          <w:szCs w:val="20"/>
          <w:rtl w:val="0"/>
        </w:rPr>
        <w:t xml:space="preserve">MFC</w:t>
      </w:r>
      <w:r w:rsidDel="00000000" w:rsidR="00000000" w:rsidRPr="00000000">
        <w:rPr>
          <w:rFonts w:ascii="Open Sans" w:cs="Open Sans" w:eastAsia="Open Sans" w:hAnsi="Open Sans"/>
          <w:sz w:val="20"/>
          <w:szCs w:val="20"/>
          <w:rtl w:val="0"/>
        </w:rPr>
        <w:t xml:space="preserve"> does not receive commissions or other sales-related compensation. </w:t>
      </w:r>
      <w:r w:rsidDel="00000000" w:rsidR="00000000" w:rsidRPr="00000000">
        <w:rPr>
          <w:rFonts w:ascii="Open Sans" w:cs="Open Sans" w:eastAsia="Open Sans" w:hAnsi="Open Sans"/>
          <w:sz w:val="20"/>
          <w:szCs w:val="20"/>
          <w:rtl w:val="0"/>
        </w:rPr>
        <w:t xml:space="preserve">Except as mentioned in Item 12 above, </w:t>
      </w:r>
      <w:r w:rsidDel="00000000" w:rsidR="00000000" w:rsidRPr="00000000">
        <w:rPr>
          <w:rFonts w:ascii="Open Sans" w:cs="Open Sans" w:eastAsia="Open Sans" w:hAnsi="Open Sans"/>
          <w:sz w:val="20"/>
          <w:szCs w:val="20"/>
          <w:rtl w:val="0"/>
        </w:rPr>
        <w:t xml:space="preserve">we do not receive any economic benefit, directly or indirectly, from any third party for advice rendered to our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s. </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51">
      <w:pPr>
        <w:spacing w:after="0" w:line="240" w:lineRule="auto"/>
        <w:jc w:val="both"/>
        <w:rPr>
          <w:rFonts w:ascii="Open Sans" w:cs="Open Sans" w:eastAsia="Open Sans" w:hAnsi="Open Sans"/>
          <w:color w:val="ce6802"/>
          <w:sz w:val="20"/>
          <w:szCs w:val="20"/>
        </w:rPr>
      </w:pPr>
      <w:r w:rsidDel="00000000" w:rsidR="00000000" w:rsidRPr="00000000">
        <w:rPr>
          <w:rFonts w:ascii="Open Sans" w:cs="Open Sans" w:eastAsia="Open Sans" w:hAnsi="Open Sans"/>
          <w:b w:val="1"/>
          <w:u w:val="single"/>
          <w:rtl w:val="0"/>
        </w:rPr>
        <w:t xml:space="preserve">Client Referrals from Solicitors</w:t>
      </w:r>
      <w:r w:rsidDel="00000000" w:rsidR="00000000" w:rsidRPr="00000000">
        <w:rPr>
          <w:rtl w:val="0"/>
        </w:rPr>
      </w:r>
    </w:p>
    <w:p w:rsidR="00000000" w:rsidDel="00000000" w:rsidP="00000000" w:rsidRDefault="00000000" w:rsidRPr="00000000" w14:paraId="00000152">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MFC</w:t>
      </w:r>
      <w:r w:rsidDel="00000000" w:rsidR="00000000" w:rsidRPr="00000000">
        <w:rPr>
          <w:rFonts w:ascii="Open Sans" w:cs="Open Sans" w:eastAsia="Open Sans" w:hAnsi="Open Sans"/>
          <w:sz w:val="20"/>
          <w:szCs w:val="20"/>
          <w:rtl w:val="0"/>
        </w:rPr>
        <w:t xml:space="preserve"> does not</w:t>
      </w:r>
      <w:r w:rsidDel="00000000" w:rsidR="00000000" w:rsidRPr="00000000">
        <w:rPr>
          <w:rFonts w:ascii="Open Sans" w:cs="Open Sans" w:eastAsia="Open Sans" w:hAnsi="Open Sans"/>
          <w:sz w:val="20"/>
          <w:szCs w:val="20"/>
          <w:rtl w:val="0"/>
        </w:rPr>
        <w:t xml:space="preserve">, directly or indirectly, compensate any person who is not advisory personnel for Client referrals.</w:t>
      </w:r>
    </w:p>
    <w:p w:rsidR="00000000" w:rsidDel="00000000" w:rsidP="00000000" w:rsidRDefault="00000000" w:rsidRPr="00000000" w14:paraId="00000153">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54">
      <w:pPr>
        <w:pStyle w:val="Heading1"/>
        <w:pageBreakBefore w:val="0"/>
        <w:spacing w:after="0" w:line="240" w:lineRule="auto"/>
        <w:rPr>
          <w:rFonts w:ascii="Open Sans" w:cs="Open Sans" w:eastAsia="Open Sans" w:hAnsi="Open Sans"/>
          <w:sz w:val="30"/>
          <w:szCs w:val="30"/>
        </w:rPr>
      </w:pPr>
      <w:bookmarkStart w:colFirst="0" w:colLast="0" w:name="_xf2y82yurozf" w:id="56"/>
      <w:bookmarkEnd w:id="56"/>
      <w:r w:rsidDel="00000000" w:rsidR="00000000" w:rsidRPr="00000000">
        <w:rPr>
          <w:rFonts w:ascii="Open Sans" w:cs="Open Sans" w:eastAsia="Open Sans" w:hAnsi="Open Sans"/>
          <w:sz w:val="30"/>
          <w:szCs w:val="30"/>
          <w:rtl w:val="0"/>
        </w:rPr>
        <w:t xml:space="preserve">Item 15: Custody</w:t>
      </w: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pacing w:after="200" w:line="240" w:lineRule="auto"/>
        <w:jc w:val="both"/>
        <w:rPr>
          <w:rFonts w:ascii="Open Sans" w:cs="Open Sans" w:eastAsia="Open Sans" w:hAnsi="Open Sans"/>
          <w:sz w:val="20"/>
          <w:szCs w:val="20"/>
          <w:highlight w:val="yellow"/>
        </w:rPr>
      </w:pPr>
      <w:r w:rsidDel="00000000" w:rsidR="00000000" w:rsidRPr="00000000">
        <w:rPr>
          <w:rFonts w:ascii="Open Sans" w:cs="Open Sans" w:eastAsia="Open Sans" w:hAnsi="Open Sans"/>
          <w:sz w:val="20"/>
          <w:szCs w:val="20"/>
          <w:rtl w:val="0"/>
        </w:rPr>
        <w:t xml:space="preserve">MFC does not hold, directly or indirectly, Client funds or securities, or have any authority to obtain possession of them. All Client assets are held at a qualified custodian. </w:t>
      </w:r>
      <w:r w:rsidDel="00000000" w:rsidR="00000000" w:rsidRPr="00000000">
        <w:rPr>
          <w:rFonts w:ascii="Open Sans" w:cs="Open Sans" w:eastAsia="Open Sans" w:hAnsi="Open Sans"/>
          <w:sz w:val="20"/>
          <w:szCs w:val="20"/>
          <w:highlight w:val="yellow"/>
          <w:rtl w:val="0"/>
        </w:rPr>
        <w:t xml:space="preserve">MFC has custody of client funds and securities solely as a consequence of its authority to make withdrawals from client accounts to pay its advisory fee.</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pacing w:after="20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MFC deducts its advisory fee from Client’s account(s), the following safeguards will be applied:</w:t>
      </w:r>
    </w:p>
    <w:p w:rsidR="00000000" w:rsidDel="00000000" w:rsidP="00000000" w:rsidRDefault="00000000" w:rsidRPr="00000000" w14:paraId="00000158">
      <w:pPr>
        <w:pageBreakBefore w:val="0"/>
        <w:numPr>
          <w:ilvl w:val="0"/>
          <w:numId w:val="4"/>
        </w:numPr>
        <w:pBdr>
          <w:top w:space="0" w:sz="0" w:val="nil"/>
          <w:left w:space="0" w:sz="0" w:val="nil"/>
          <w:bottom w:space="0" w:sz="0" w:val="nil"/>
          <w:right w:space="0" w:sz="0" w:val="nil"/>
          <w:between w:space="0" w:sz="0" w:val="nil"/>
        </w:pBdr>
        <w:spacing w:after="0" w:before="0"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Client will provide written authorization to MFC, permitting us to be paid directly from Client’s accounts held by the custodian. </w:t>
      </w:r>
    </w:p>
    <w:p w:rsidR="00000000" w:rsidDel="00000000" w:rsidP="00000000" w:rsidRDefault="00000000" w:rsidRPr="00000000" w14:paraId="00000159">
      <w:pPr>
        <w:pageBreakBefore w:val="0"/>
        <w:numPr>
          <w:ilvl w:val="0"/>
          <w:numId w:val="4"/>
        </w:numPr>
        <w:pBdr>
          <w:top w:space="0" w:sz="0" w:val="nil"/>
          <w:left w:space="0" w:sz="0" w:val="nil"/>
          <w:bottom w:space="0" w:sz="0" w:val="nil"/>
          <w:right w:space="0" w:sz="0" w:val="nil"/>
          <w:between w:space="0" w:sz="0" w:val="nil"/>
        </w:pBdr>
        <w:spacing w:after="0" w:before="0"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custodian will send at least quarterly statements to the Client showing all disbursements from the accounts, including the amount of the advisory fee.</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pacing w:after="0" w:before="0" w:line="240" w:lineRule="auto"/>
        <w:ind w:left="720" w:firstLine="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5B">
      <w:pPr>
        <w:spacing w:after="20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MFC will send an itemized invoice to the Client at the same time it instructs the custodian to debit the advisory fee. Itemization includes the formula used to calculate the fee, the amount of assets under management the fee is based on, and the time period covered by the fee.</w:t>
      </w: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urge you to carefully review custodial statements and compare them to the account invoices or reports that we may provide to you and notify us of any discrepancies. Clients are responsible for verifying the accuracy of these fees as listed on the custodian’s brokerage statement as the custodian does not assume this responsibility. Our invoices or reports may vary from custodial statements based on accounting procedures, reporting dates, or valuation methodologies of certain securities.</w:t>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5E">
      <w:pPr>
        <w:pStyle w:val="Heading1"/>
        <w:pageBreakBefore w:val="0"/>
        <w:spacing w:after="0" w:line="240" w:lineRule="auto"/>
        <w:rPr>
          <w:rFonts w:ascii="Open Sans" w:cs="Open Sans" w:eastAsia="Open Sans" w:hAnsi="Open Sans"/>
          <w:sz w:val="30"/>
          <w:szCs w:val="30"/>
        </w:rPr>
      </w:pPr>
      <w:bookmarkStart w:colFirst="0" w:colLast="0" w:name="_i93ds5cjxv9u" w:id="57"/>
      <w:bookmarkEnd w:id="57"/>
      <w:r w:rsidDel="00000000" w:rsidR="00000000" w:rsidRPr="00000000">
        <w:rPr>
          <w:rFonts w:ascii="Open Sans" w:cs="Open Sans" w:eastAsia="Open Sans" w:hAnsi="Open Sans"/>
          <w:sz w:val="30"/>
          <w:szCs w:val="30"/>
          <w:rtl w:val="0"/>
        </w:rPr>
        <w:t xml:space="preserve">Item 16: Investment Discretion</w:t>
      </w: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color w:val="00b050"/>
          <w:sz w:val="20"/>
          <w:szCs w:val="20"/>
        </w:rPr>
      </w:pP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For those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 accounts where we provide Investment Management Services, </w:t>
      </w:r>
      <w:r w:rsidDel="00000000" w:rsidR="00000000" w:rsidRPr="00000000">
        <w:rPr>
          <w:rFonts w:ascii="Open Sans" w:cs="Open Sans" w:eastAsia="Open Sans" w:hAnsi="Open Sans"/>
          <w:sz w:val="20"/>
          <w:szCs w:val="20"/>
          <w:rtl w:val="0"/>
        </w:rPr>
        <w:t xml:space="preserve">MFC</w:t>
      </w:r>
      <w:r w:rsidDel="00000000" w:rsidR="00000000" w:rsidRPr="00000000">
        <w:rPr>
          <w:rFonts w:ascii="Open Sans" w:cs="Open Sans" w:eastAsia="Open Sans" w:hAnsi="Open Sans"/>
          <w:sz w:val="20"/>
          <w:szCs w:val="20"/>
          <w:rtl w:val="0"/>
        </w:rPr>
        <w:t xml:space="preserve"> has discretionary authority and limited power of attorney to determine the securities and the amount of securities to be bought or sold for a Client’s account without having to obtain prior Client approval for each transaction. Investment discretion is explained to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s in detail when an advisory relationship has commenced. At the start of the advisory relationship, the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 will execute a Limited Power of Attorney, which will grant our firm discretion over the account(s).  Additionally, the discretionary relationship will be outlined in the Advisory Contract and signed by the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sz w:val="20"/>
          <w:szCs w:val="20"/>
          <w:rtl w:val="0"/>
        </w:rPr>
        <w:t xml:space="preserve"> Clients may limit our discretion by requesting certain restrictions on investments. However, approval of such requests are at the firm’s sole discretion. </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62">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MFC has engaged an Outside Manager to assist with the management of Client’s portfolio, MFC has the discretion to direct the Outside Manager to buy or sell securities for Client’s portfolio without </w:t>
      </w:r>
      <w:r w:rsidDel="00000000" w:rsidR="00000000" w:rsidRPr="00000000">
        <w:rPr>
          <w:rFonts w:ascii="Open Sans" w:cs="Open Sans" w:eastAsia="Open Sans" w:hAnsi="Open Sans"/>
          <w:sz w:val="20"/>
          <w:szCs w:val="20"/>
          <w:rtl w:val="0"/>
        </w:rPr>
        <w:t xml:space="preserve">obtaining prior Client approval for each transaction.</w:t>
      </w:r>
      <w:r w:rsidDel="00000000" w:rsidR="00000000" w:rsidRPr="00000000">
        <w:rPr>
          <w:rtl w:val="0"/>
        </w:rPr>
      </w:r>
    </w:p>
    <w:p w:rsidR="00000000" w:rsidDel="00000000" w:rsidP="00000000" w:rsidRDefault="00000000" w:rsidRPr="00000000" w14:paraId="00000163">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64">
      <w:pPr>
        <w:pStyle w:val="Heading1"/>
        <w:pageBreakBefore w:val="0"/>
        <w:spacing w:after="0" w:line="240" w:lineRule="auto"/>
        <w:rPr>
          <w:rFonts w:ascii="Open Sans" w:cs="Open Sans" w:eastAsia="Open Sans" w:hAnsi="Open Sans"/>
          <w:sz w:val="30"/>
          <w:szCs w:val="30"/>
        </w:rPr>
      </w:pPr>
      <w:bookmarkStart w:colFirst="0" w:colLast="0" w:name="_30bxhe3kf8bb" w:id="58"/>
      <w:bookmarkEnd w:id="58"/>
      <w:r w:rsidDel="00000000" w:rsidR="00000000" w:rsidRPr="00000000">
        <w:rPr>
          <w:rFonts w:ascii="Open Sans" w:cs="Open Sans" w:eastAsia="Open Sans" w:hAnsi="Open Sans"/>
          <w:sz w:val="30"/>
          <w:szCs w:val="30"/>
          <w:rtl w:val="0"/>
        </w:rPr>
        <w:t xml:space="preserve">Item 17: Voting Client Securities</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do not vote Client proxies. Therefore, Clients maintain exclusive responsibility for: (1) voting proxies, and (2) acting on corporate actions pertaining to the Client’s investment assets. The Client shall instruct the Client’s qualified custodian to forward to the Client copies of all proxies and shareholder communications relating to the Client’s investment assets. If the Client has any questions on a particular proxy vote, they may contact us at the number listed on the cover of this brochure.</w:t>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 most cases, you will receive proxy materials directly from the account custodian. However, in the event we were to receive any written or electronic proxy materials, we would forward them directly to you by mail, unless you have authorized our firm to contact you by electronic mail, in which case, we would forward you any electronic solicitation to vote proxies.</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6A">
      <w:pPr>
        <w:pStyle w:val="Heading1"/>
        <w:pageBreakBefore w:val="0"/>
        <w:spacing w:after="0" w:line="240" w:lineRule="auto"/>
        <w:rPr>
          <w:rFonts w:ascii="Open Sans" w:cs="Open Sans" w:eastAsia="Open Sans" w:hAnsi="Open Sans"/>
          <w:sz w:val="30"/>
          <w:szCs w:val="30"/>
        </w:rPr>
      </w:pPr>
      <w:bookmarkStart w:colFirst="0" w:colLast="0" w:name="_gdfhkkgpqzvb" w:id="59"/>
      <w:bookmarkEnd w:id="59"/>
      <w:r w:rsidDel="00000000" w:rsidR="00000000" w:rsidRPr="00000000">
        <w:rPr>
          <w:rFonts w:ascii="Open Sans" w:cs="Open Sans" w:eastAsia="Open Sans" w:hAnsi="Open Sans"/>
          <w:sz w:val="30"/>
          <w:szCs w:val="30"/>
          <w:rtl w:val="0"/>
        </w:rPr>
        <w:t xml:space="preserve">Item 18: Financial Information</w:t>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pacing w:after="0" w:line="24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have no financial commitment that impairs our ability to meet contractual and fiduciary commitments to our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s, nor have we been the subject of any bankruptcy proceeding. </w:t>
      </w:r>
      <w:r w:rsidDel="00000000" w:rsidR="00000000" w:rsidRPr="00000000">
        <w:rPr>
          <w:rFonts w:ascii="Open Sans" w:cs="Open Sans" w:eastAsia="Open Sans" w:hAnsi="Open Sans"/>
          <w:sz w:val="20"/>
          <w:szCs w:val="20"/>
          <w:rtl w:val="0"/>
        </w:rPr>
        <w:t xml:space="preserve">We do not have custody of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 funds or securities, except as disclosed in Item 15 above, or require or solicit prepayment of more than</w:t>
      </w:r>
      <w:r w:rsidDel="00000000" w:rsidR="00000000" w:rsidRPr="00000000">
        <w:rPr>
          <w:rFonts w:ascii="Open Sans" w:cs="Open Sans" w:eastAsia="Open Sans" w:hAnsi="Open Sans"/>
          <w:sz w:val="20"/>
          <w:szCs w:val="20"/>
          <w:rtl w:val="0"/>
        </w:rPr>
        <w:t xml:space="preserve"> $500</w:t>
      </w:r>
      <w:r w:rsidDel="00000000" w:rsidR="00000000" w:rsidRPr="00000000">
        <w:rPr>
          <w:rFonts w:ascii="Open Sans" w:cs="Open Sans" w:eastAsia="Open Sans" w:hAnsi="Open Sans"/>
          <w:sz w:val="20"/>
          <w:szCs w:val="20"/>
          <w:rtl w:val="0"/>
        </w:rPr>
        <w:t xml:space="preserve"> in fees six months or more in advance. </w:t>
      </w: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6E">
      <w:pPr>
        <w:pStyle w:val="Heading1"/>
        <w:pageBreakBefore w:val="0"/>
        <w:spacing w:after="0" w:before="0" w:line="240" w:lineRule="auto"/>
        <w:rPr>
          <w:rFonts w:ascii="Open Sans" w:cs="Open Sans" w:eastAsia="Open Sans" w:hAnsi="Open Sans"/>
          <w:sz w:val="30"/>
          <w:szCs w:val="30"/>
        </w:rPr>
      </w:pPr>
      <w:bookmarkStart w:colFirst="0" w:colLast="0" w:name="_23ckvvd" w:id="60"/>
      <w:bookmarkEnd w:id="60"/>
      <w:r w:rsidDel="00000000" w:rsidR="00000000" w:rsidRPr="00000000">
        <w:rPr>
          <w:rFonts w:ascii="Open Sans" w:cs="Open Sans" w:eastAsia="Open Sans" w:hAnsi="Open Sans"/>
          <w:sz w:val="30"/>
          <w:szCs w:val="30"/>
          <w:rtl w:val="0"/>
        </w:rPr>
        <w:t xml:space="preserve">Item 19: Requirements for State-Registered Advisers</w:t>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pacing w:after="0" w:before="0"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70">
      <w:pPr>
        <w:pageBreakBefore w:val="0"/>
        <w:spacing w:after="0" w:line="240" w:lineRule="auto"/>
        <w:jc w:val="both"/>
        <w:rPr>
          <w:rFonts w:ascii="Open Sans" w:cs="Open Sans" w:eastAsia="Open Sans" w:hAnsi="Open Sans"/>
          <w:sz w:val="20"/>
          <w:szCs w:val="20"/>
          <w:u w:val="single"/>
        </w:rPr>
      </w:pPr>
      <w:r w:rsidDel="00000000" w:rsidR="00000000" w:rsidRPr="00000000">
        <w:rPr>
          <w:rFonts w:ascii="Open Sans" w:cs="Open Sans" w:eastAsia="Open Sans" w:hAnsi="Open Sans"/>
          <w:b w:val="1"/>
          <w:u w:val="single"/>
          <w:rtl w:val="0"/>
        </w:rPr>
        <w:t xml:space="preserve">Principal Officers</w:t>
      </w: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Ryan Mende serves as MFC’s </w:t>
      </w:r>
      <w:r w:rsidDel="00000000" w:rsidR="00000000" w:rsidRPr="00000000">
        <w:rPr>
          <w:rFonts w:ascii="Open Sans" w:cs="Open Sans" w:eastAsia="Open Sans" w:hAnsi="Open Sans"/>
          <w:sz w:val="20"/>
          <w:szCs w:val="20"/>
          <w:rtl w:val="0"/>
        </w:rPr>
        <w:t xml:space="preserve">sole principal and CCO. </w:t>
      </w:r>
      <w:r w:rsidDel="00000000" w:rsidR="00000000" w:rsidRPr="00000000">
        <w:rPr>
          <w:rFonts w:ascii="Open Sans" w:cs="Open Sans" w:eastAsia="Open Sans" w:hAnsi="Open Sans"/>
          <w:sz w:val="20"/>
          <w:szCs w:val="20"/>
          <w:rtl w:val="0"/>
        </w:rPr>
        <w:t xml:space="preserve">Information about Ryan Mende’s education, business background, and outside business activities can be found in </w:t>
      </w:r>
      <w:r w:rsidDel="00000000" w:rsidR="00000000" w:rsidRPr="00000000">
        <w:rPr>
          <w:rFonts w:ascii="Open Sans" w:cs="Open Sans" w:eastAsia="Open Sans" w:hAnsi="Open Sans"/>
          <w:sz w:val="20"/>
          <w:szCs w:val="20"/>
          <w:rtl w:val="0"/>
        </w:rPr>
        <w:t xml:space="preserve">his</w:t>
      </w:r>
      <w:r w:rsidDel="00000000" w:rsidR="00000000" w:rsidRPr="00000000">
        <w:rPr>
          <w:rFonts w:ascii="Open Sans" w:cs="Open Sans" w:eastAsia="Open Sans" w:hAnsi="Open Sans"/>
          <w:sz w:val="20"/>
          <w:szCs w:val="20"/>
          <w:rtl w:val="0"/>
        </w:rPr>
        <w:t xml:space="preserve"> ADV Part 2B, Brochure Supplement attached to this Brochure.</w:t>
      </w: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pacing w:after="0" w:before="0"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73">
      <w:pPr>
        <w:pageBreakBefore w:val="0"/>
        <w:spacing w:after="0" w:line="240" w:lineRule="auto"/>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Outside Business</w:t>
      </w:r>
    </w:p>
    <w:p w:rsidR="00000000" w:rsidDel="00000000" w:rsidP="00000000" w:rsidRDefault="00000000" w:rsidRPr="00000000" w14:paraId="00000174">
      <w:pPr>
        <w:pageBreakBefore w:val="0"/>
        <w:spacing w:after="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All outside business information, if applicable, of MFC is disclosed in Item 10 of this Brochure.</w:t>
      </w:r>
      <w:r w:rsidDel="00000000" w:rsidR="00000000" w:rsidRPr="00000000">
        <w:rPr>
          <w:rtl w:val="0"/>
        </w:rPr>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Performance-Based Fees</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Neither MFC or Ryan Mende is compensated by performance-based fees.</w:t>
      </w: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Material Disciplinary Disclosures</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 management person at MFC has ever been involved in an arbitration claim of any kind or been found liable in a civil, self-regulatory organization, or administrative proceeding.</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Material Relationships That Management Persons Have with Issuers of Securities</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MFC nor Ryan Mende have any relationship or arrangement with issuers of securities</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color w:val="ff0000"/>
          <w:sz w:val="20"/>
          <w:szCs w:val="20"/>
        </w:rPr>
      </w:pP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u w:val="single"/>
        </w:rPr>
      </w:pPr>
      <w:r w:rsidDel="00000000" w:rsidR="00000000" w:rsidRPr="00000000">
        <w:rPr>
          <w:rFonts w:ascii="Open Sans" w:cs="Open Sans" w:eastAsia="Open Sans" w:hAnsi="Open Sans"/>
          <w:b w:val="1"/>
          <w:color w:val="000000"/>
          <w:u w:val="single"/>
          <w:rtl w:val="0"/>
        </w:rPr>
        <w:t xml:space="preserve">Business Continuity Plan</w:t>
      </w: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MFC</w:t>
      </w:r>
      <w:r w:rsidDel="00000000" w:rsidR="00000000" w:rsidRPr="00000000">
        <w:rPr>
          <w:rFonts w:ascii="Open Sans" w:cs="Open Sans" w:eastAsia="Open Sans" w:hAnsi="Open Sans"/>
          <w:color w:val="000000"/>
          <w:sz w:val="20"/>
          <w:szCs w:val="20"/>
          <w:rtl w:val="0"/>
        </w:rPr>
        <w:t xml:space="preserve"> maintains a written Business Continuity Plan that identifies procedures related to an emergency or significant business disruptions, including the death of the investment adviser or any of its representatives.</w:t>
      </w: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82">
      <w:pPr>
        <w:spacing w:after="0" w:line="240" w:lineRule="auto"/>
        <w:jc w:val="both"/>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Disclosure of Material Conflicts </w:t>
      </w:r>
    </w:p>
    <w:p w:rsidR="00000000" w:rsidDel="00000000" w:rsidP="00000000" w:rsidRDefault="00000000" w:rsidRPr="00000000" w14:paraId="00000183">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All material conflicts of interest under CCR Section 260.238(k) are disclosed regarding MFC, its representatives or any of its employees, which could be reasonably expected to impair the rendering of unbiased and objective advice.</w:t>
      </w: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pacing w:after="12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jc w:val="left"/>
        <w:rPr>
          <w:rFonts w:ascii="Open Sans" w:cs="Open Sans" w:eastAsia="Open Sans" w:hAnsi="Open Sans"/>
          <w:sz w:val="20"/>
          <w:szCs w:val="20"/>
        </w:rPr>
        <w:sectPr>
          <w:type w:val="nextPage"/>
          <w:pgSz w:h="15840" w:w="12240" w:orient="portrait"/>
          <w:pgMar w:bottom="1440" w:top="1440" w:left="1080" w:right="1080" w:header="0" w:footer="720"/>
        </w:sectPr>
      </w:pPr>
      <w:bookmarkStart w:colFirst="0" w:colLast="0" w:name="_ihv636" w:id="61"/>
      <w:bookmarkEnd w:id="61"/>
      <w:r w:rsidDel="00000000" w:rsidR="00000000" w:rsidRPr="00000000">
        <w:rPr>
          <w:rtl w:val="0"/>
        </w:rPr>
      </w:r>
    </w:p>
    <w:p w:rsidR="00000000" w:rsidDel="00000000" w:rsidP="00000000" w:rsidRDefault="00000000" w:rsidRPr="00000000" w14:paraId="00000186">
      <w:pPr>
        <w:pStyle w:val="Title"/>
        <w:spacing w:after="0" w:lineRule="auto"/>
        <w:rPr>
          <w:rFonts w:ascii="Open Sans" w:cs="Open Sans" w:eastAsia="Open Sans" w:hAnsi="Open Sans"/>
          <w:sz w:val="34"/>
          <w:szCs w:val="34"/>
        </w:rPr>
      </w:pPr>
      <w:bookmarkStart w:colFirst="0" w:colLast="0" w:name="_gahjvkarkhfa" w:id="62"/>
      <w:bookmarkEnd w:id="62"/>
      <w:r w:rsidDel="00000000" w:rsidR="00000000" w:rsidRPr="00000000">
        <w:rPr>
          <w:rFonts w:ascii="Open Sans" w:cs="Open Sans" w:eastAsia="Open Sans" w:hAnsi="Open Sans"/>
          <w:sz w:val="30"/>
          <w:szCs w:val="30"/>
          <w:rtl w:val="0"/>
        </w:rPr>
        <w:t xml:space="preserve">Item 1: Cover Page</w:t>
      </w: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jc w:val="center"/>
        <w:rPr>
          <w:rFonts w:ascii="Open Sans" w:cs="Open Sans" w:eastAsia="Open Sans" w:hAnsi="Open Sans"/>
          <w:sz w:val="34"/>
          <w:szCs w:val="34"/>
        </w:rPr>
      </w:pPr>
      <w:bookmarkStart w:colFirst="0" w:colLast="0" w:name="_romowjrmmxov" w:id="63"/>
      <w:bookmarkEnd w:id="63"/>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jc w:val="center"/>
        <w:rPr>
          <w:rFonts w:ascii="Open Sans" w:cs="Open Sans" w:eastAsia="Open Sans" w:hAnsi="Open Sans"/>
          <w:sz w:val="34"/>
          <w:szCs w:val="34"/>
        </w:rPr>
      </w:pPr>
      <w:bookmarkStart w:colFirst="0" w:colLast="0" w:name="_l4yqahjnkdm8" w:id="64"/>
      <w:bookmarkEnd w:id="64"/>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jc w:val="center"/>
        <w:rPr>
          <w:rFonts w:ascii="Open Sans" w:cs="Open Sans" w:eastAsia="Open Sans" w:hAnsi="Open Sans"/>
          <w:sz w:val="34"/>
          <w:szCs w:val="34"/>
        </w:rPr>
      </w:pPr>
      <w:bookmarkStart w:colFirst="0" w:colLast="0" w:name="_d5o7j4veiiwx" w:id="65"/>
      <w:bookmarkEnd w:id="65"/>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jc w:val="center"/>
        <w:rPr>
          <w:rFonts w:ascii="Open Sans" w:cs="Open Sans" w:eastAsia="Open Sans" w:hAnsi="Open Sans"/>
          <w:sz w:val="34"/>
          <w:szCs w:val="34"/>
        </w:rPr>
      </w:pPr>
      <w:bookmarkStart w:colFirst="0" w:colLast="0" w:name="_5ony1hocenm5" w:id="66"/>
      <w:bookmarkEnd w:id="66"/>
      <w:r w:rsidDel="00000000" w:rsidR="00000000" w:rsidRPr="00000000">
        <w:rPr>
          <w:rFonts w:ascii="Open Sans" w:cs="Open Sans" w:eastAsia="Open Sans" w:hAnsi="Open Sans"/>
          <w:sz w:val="34"/>
          <w:szCs w:val="34"/>
          <w:rtl w:val="0"/>
        </w:rPr>
        <w:t xml:space="preserve">Mende Financial Council, Inc.</w:t>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pacing w:after="0" w:lineRule="auto"/>
        <w:jc w:val="cente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1127 Lincoln Ave</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pacing w:after="0" w:lineRule="auto"/>
        <w:jc w:val="cente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Pacific Grove, CA 93950</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pacing w:line="240" w:lineRule="auto"/>
        <w:jc w:val="center"/>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(925)519-3341</w:t>
      </w:r>
    </w:p>
    <w:p w:rsidR="00000000" w:rsidDel="00000000" w:rsidP="00000000" w:rsidRDefault="00000000" w:rsidRPr="00000000" w14:paraId="0000018E">
      <w:pPr>
        <w:pStyle w:val="Heading1"/>
        <w:pageBreakBefore w:val="0"/>
        <w:jc w:val="center"/>
        <w:rPr>
          <w:rFonts w:ascii="Open Sans" w:cs="Open Sans" w:eastAsia="Open Sans" w:hAnsi="Open Sans"/>
          <w:b w:val="1"/>
          <w:color w:val="000000"/>
          <w:sz w:val="30"/>
          <w:szCs w:val="30"/>
        </w:rPr>
      </w:pPr>
      <w:bookmarkStart w:colFirst="0" w:colLast="0" w:name="_32hioqz" w:id="67"/>
      <w:bookmarkEnd w:id="67"/>
      <w:r w:rsidDel="00000000" w:rsidR="00000000" w:rsidRPr="00000000">
        <w:rPr>
          <w:rFonts w:ascii="Open Sans" w:cs="Open Sans" w:eastAsia="Open Sans" w:hAnsi="Open Sans"/>
          <w:b w:val="1"/>
          <w:color w:val="000000"/>
          <w:sz w:val="30"/>
          <w:szCs w:val="30"/>
          <w:rtl w:val="0"/>
        </w:rPr>
        <w:t xml:space="preserve">Form ADV Part 2B – Brochure Supplement</w:t>
      </w:r>
    </w:p>
    <w:p w:rsidR="00000000" w:rsidDel="00000000" w:rsidP="00000000" w:rsidRDefault="00000000" w:rsidRPr="00000000" w14:paraId="0000018F">
      <w:pPr>
        <w:spacing w:line="240" w:lineRule="auto"/>
        <w:jc w:val="center"/>
        <w:rPr>
          <w:rFonts w:ascii="Open Sans" w:cs="Open Sans" w:eastAsia="Open Sans" w:hAnsi="Open Sans"/>
          <w:sz w:val="30"/>
          <w:szCs w:val="30"/>
        </w:rPr>
      </w:pPr>
      <w:r w:rsidDel="00000000" w:rsidR="00000000" w:rsidRPr="00000000">
        <w:rPr>
          <w:rFonts w:ascii="Open Sans" w:cs="Open Sans" w:eastAsia="Open Sans" w:hAnsi="Open Sans"/>
          <w:sz w:val="30"/>
          <w:szCs w:val="30"/>
          <w:rtl w:val="0"/>
        </w:rPr>
        <w:t xml:space="preserve">Dated: </w:t>
      </w:r>
      <w:r w:rsidDel="00000000" w:rsidR="00000000" w:rsidRPr="00000000">
        <w:rPr>
          <w:rFonts w:ascii="Open Sans" w:cs="Open Sans" w:eastAsia="Open Sans" w:hAnsi="Open Sans"/>
          <w:sz w:val="30"/>
          <w:szCs w:val="30"/>
          <w:highlight w:val="yellow"/>
          <w:rtl w:val="0"/>
        </w:rPr>
        <w:t xml:space="preserve">April 10,</w:t>
      </w:r>
      <w:r w:rsidDel="00000000" w:rsidR="00000000" w:rsidRPr="00000000">
        <w:rPr>
          <w:rFonts w:ascii="Open Sans" w:cs="Open Sans" w:eastAsia="Open Sans" w:hAnsi="Open Sans"/>
          <w:sz w:val="30"/>
          <w:szCs w:val="30"/>
          <w:rtl w:val="0"/>
        </w:rPr>
        <w:t xml:space="preserve"> 2025</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pacing w:after="0" w:lineRule="auto"/>
        <w:jc w:val="center"/>
        <w:rPr>
          <w:rFonts w:ascii="Open Sans" w:cs="Open Sans" w:eastAsia="Open Sans" w:hAnsi="Open Sans"/>
          <w:sz w:val="26"/>
          <w:szCs w:val="26"/>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pacing w:after="120" w:lineRule="auto"/>
        <w:jc w:val="both"/>
        <w:rPr>
          <w:rFonts w:ascii="Open Sans" w:cs="Open Sans" w:eastAsia="Open Sans" w:hAnsi="Open Sans"/>
          <w:i w:val="1"/>
          <w:sz w:val="30"/>
          <w:szCs w:val="30"/>
        </w:rPr>
      </w:pP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pacing w:after="120" w:lineRule="auto"/>
        <w:jc w:val="both"/>
        <w:rPr>
          <w:rFonts w:ascii="Open Sans" w:cs="Open Sans" w:eastAsia="Open Sans" w:hAnsi="Open Sans"/>
          <w:i w:val="1"/>
          <w:sz w:val="30"/>
          <w:szCs w:val="30"/>
        </w:rPr>
      </w:pP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pacing w:after="120" w:lineRule="auto"/>
        <w:jc w:val="both"/>
        <w:rPr>
          <w:rFonts w:ascii="Open Sans" w:cs="Open Sans" w:eastAsia="Open Sans" w:hAnsi="Open Sans"/>
          <w:i w:val="1"/>
          <w:sz w:val="30"/>
          <w:szCs w:val="30"/>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pacing w:after="120" w:lineRule="auto"/>
        <w:jc w:val="both"/>
        <w:rPr>
          <w:rFonts w:ascii="Open Sans" w:cs="Open Sans" w:eastAsia="Open Sans" w:hAnsi="Open Sans"/>
          <w:i w:val="1"/>
          <w:sz w:val="30"/>
          <w:szCs w:val="30"/>
        </w:rPr>
      </w:pP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pacing w:after="120" w:lineRule="auto"/>
        <w:jc w:val="both"/>
        <w:rPr>
          <w:rFonts w:ascii="Open Sans" w:cs="Open Sans" w:eastAsia="Open Sans" w:hAnsi="Open Sans"/>
          <w:i w:val="1"/>
          <w:sz w:val="30"/>
          <w:szCs w:val="30"/>
        </w:rPr>
      </w:pPr>
      <w:r w:rsidDel="00000000" w:rsidR="00000000" w:rsidRPr="00000000">
        <w:rPr>
          <w:rFonts w:ascii="Open Sans" w:cs="Open Sans" w:eastAsia="Open Sans" w:hAnsi="Open Sans"/>
          <w:i w:val="1"/>
          <w:sz w:val="30"/>
          <w:szCs w:val="30"/>
          <w:rtl w:val="0"/>
        </w:rPr>
        <w:t xml:space="preserve">For</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pacing w:after="120" w:lineRule="auto"/>
        <w:jc w:val="both"/>
        <w:rPr>
          <w:rFonts w:ascii="Open Sans" w:cs="Open Sans" w:eastAsia="Open Sans" w:hAnsi="Open Sans"/>
          <w:b w:val="1"/>
          <w:sz w:val="30"/>
          <w:szCs w:val="30"/>
        </w:rPr>
      </w:pPr>
      <w:r w:rsidDel="00000000" w:rsidR="00000000" w:rsidRPr="00000000">
        <w:rPr>
          <w:rFonts w:ascii="Open Sans" w:cs="Open Sans" w:eastAsia="Open Sans" w:hAnsi="Open Sans"/>
          <w:b w:val="1"/>
          <w:sz w:val="30"/>
          <w:szCs w:val="30"/>
          <w:rtl w:val="0"/>
        </w:rPr>
        <w:t xml:space="preserve">Ryan Mende </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pacing w:after="120" w:lineRule="auto"/>
        <w:jc w:val="both"/>
        <w:rPr>
          <w:rFonts w:ascii="Open Sans" w:cs="Open Sans" w:eastAsia="Open Sans" w:hAnsi="Open Sans"/>
          <w:sz w:val="26"/>
          <w:szCs w:val="26"/>
        </w:rPr>
      </w:pPr>
      <w:r w:rsidDel="00000000" w:rsidR="00000000" w:rsidRPr="00000000">
        <w:rPr>
          <w:rFonts w:ascii="Open Sans" w:cs="Open Sans" w:eastAsia="Open Sans" w:hAnsi="Open Sans"/>
          <w:sz w:val="26"/>
          <w:szCs w:val="26"/>
          <w:rtl w:val="0"/>
        </w:rPr>
        <w:t xml:space="preserve">CEO and Chief Compliance Officer</w:t>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pacing w:after="12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This brochure supplement provides information about Ryan Mende that supplements the Mende Financial Council, Inc. (“MFC”) brochure. You should have received a copy of that brochure. </w:t>
      </w:r>
      <w:r w:rsidDel="00000000" w:rsidR="00000000" w:rsidRPr="00000000">
        <w:rPr>
          <w:rFonts w:ascii="Open Sans" w:cs="Open Sans" w:eastAsia="Open Sans" w:hAnsi="Open Sans"/>
          <w:sz w:val="20"/>
          <w:szCs w:val="20"/>
          <w:rtl w:val="0"/>
        </w:rPr>
        <w:t xml:space="preserve">Please contact </w:t>
      </w:r>
      <w:r w:rsidDel="00000000" w:rsidR="00000000" w:rsidRPr="00000000">
        <w:rPr>
          <w:rFonts w:ascii="Open Sans" w:cs="Open Sans" w:eastAsia="Open Sans" w:hAnsi="Open Sans"/>
          <w:sz w:val="20"/>
          <w:szCs w:val="20"/>
          <w:rtl w:val="0"/>
        </w:rPr>
        <w:t xml:space="preserve">Ryan Mende if you did not receive MFC’s brochure or if you have any questions about the contents of this supplement.</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pacing w:after="120" w:lineRule="auto"/>
        <w:rPr>
          <w:rFonts w:ascii="Open Sans" w:cs="Open Sans" w:eastAsia="Open Sans" w:hAnsi="Open Sans"/>
          <w:b w:val="1"/>
          <w:sz w:val="30"/>
          <w:szCs w:val="30"/>
        </w:rPr>
      </w:pPr>
      <w:r w:rsidDel="00000000" w:rsidR="00000000" w:rsidRPr="00000000">
        <w:rPr>
          <w:rFonts w:ascii="Open Sans" w:cs="Open Sans" w:eastAsia="Open Sans" w:hAnsi="Open Sans"/>
          <w:sz w:val="20"/>
          <w:szCs w:val="20"/>
          <w:rtl w:val="0"/>
        </w:rPr>
        <w:t xml:space="preserve">Additional information about Ryan Mende is available on the SEC’s website at </w:t>
      </w:r>
      <w:hyperlink r:id="rId13">
        <w:r w:rsidDel="00000000" w:rsidR="00000000" w:rsidRPr="00000000">
          <w:rPr>
            <w:rFonts w:ascii="Open Sans" w:cs="Open Sans" w:eastAsia="Open Sans" w:hAnsi="Open Sans"/>
            <w:color w:val="0563c1"/>
            <w:sz w:val="20"/>
            <w:szCs w:val="20"/>
            <w:u w:val="single"/>
            <w:rtl w:val="0"/>
          </w:rPr>
          <w:t xml:space="preserve">www.adviserinfo.sec.gov</w:t>
        </w:r>
      </w:hyperlink>
      <w:r w:rsidDel="00000000" w:rsidR="00000000" w:rsidRPr="00000000">
        <w:rPr>
          <w:rFonts w:ascii="Open Sans" w:cs="Open Sans" w:eastAsia="Open Sans" w:hAnsi="Open Sans"/>
          <w:sz w:val="20"/>
          <w:szCs w:val="20"/>
          <w:rtl w:val="0"/>
        </w:rPr>
        <w:t xml:space="preserve"> which can be found using the identification number 6353788.</w:t>
      </w: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pacing w:after="0" w:lineRule="auto"/>
        <w:rPr>
          <w:rFonts w:ascii="Open Sans" w:cs="Open Sans" w:eastAsia="Open Sans" w:hAnsi="Open Sans"/>
          <w:b w:val="1"/>
          <w:sz w:val="30"/>
          <w:szCs w:val="30"/>
        </w:rPr>
      </w:pPr>
      <w:r w:rsidDel="00000000" w:rsidR="00000000" w:rsidRPr="00000000">
        <w:rPr>
          <w:rtl w:val="0"/>
        </w:rPr>
      </w:r>
    </w:p>
    <w:p w:rsidR="00000000" w:rsidDel="00000000" w:rsidP="00000000" w:rsidRDefault="00000000" w:rsidRPr="00000000" w14:paraId="0000019B">
      <w:pPr>
        <w:pageBreakBefore w:val="0"/>
        <w:widowControl w:val="0"/>
        <w:pBdr>
          <w:top w:space="0" w:sz="0" w:val="nil"/>
          <w:left w:space="0" w:sz="0" w:val="nil"/>
          <w:bottom w:space="0" w:sz="0" w:val="nil"/>
          <w:right w:space="0" w:sz="0" w:val="nil"/>
          <w:between w:space="0" w:sz="0" w:val="nil"/>
        </w:pBdr>
        <w:spacing w:after="0" w:line="276" w:lineRule="auto"/>
        <w:rPr>
          <w:rFonts w:ascii="Open Sans" w:cs="Open Sans" w:eastAsia="Open Sans" w:hAnsi="Open Sans"/>
          <w:b w:val="1"/>
          <w:sz w:val="30"/>
          <w:szCs w:val="30"/>
        </w:rPr>
        <w:sectPr>
          <w:type w:val="nextPage"/>
          <w:pgSz w:h="15840" w:w="12240" w:orient="portrait"/>
          <w:pgMar w:bottom="1440" w:top="1440" w:left="1080" w:right="1080"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19C">
      <w:pPr>
        <w:pStyle w:val="Title"/>
        <w:pageBreakBefore w:val="0"/>
        <w:spacing w:after="0" w:lineRule="auto"/>
        <w:rPr>
          <w:rFonts w:ascii="Open Sans" w:cs="Open Sans" w:eastAsia="Open Sans" w:hAnsi="Open Sans"/>
          <w:sz w:val="30"/>
          <w:szCs w:val="30"/>
        </w:rPr>
      </w:pPr>
      <w:bookmarkStart w:colFirst="0" w:colLast="0" w:name="_1hmsyys" w:id="68"/>
      <w:bookmarkEnd w:id="68"/>
      <w:r w:rsidDel="00000000" w:rsidR="00000000" w:rsidRPr="00000000">
        <w:rPr>
          <w:rFonts w:ascii="Open Sans" w:cs="Open Sans" w:eastAsia="Open Sans" w:hAnsi="Open Sans"/>
          <w:sz w:val="30"/>
          <w:szCs w:val="30"/>
          <w:rtl w:val="0"/>
        </w:rPr>
        <w:t xml:space="preserve">Item 2: Educational Background and Business Experience</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pacing w:after="0" w:before="0" w:line="240" w:lineRule="auto"/>
        <w:rPr>
          <w:rFonts w:ascii="Open Sans" w:cs="Open Sans" w:eastAsia="Open Sans" w:hAnsi="Open Sans"/>
          <w:b w:val="1"/>
          <w:sz w:val="26"/>
          <w:szCs w:val="26"/>
        </w:rPr>
      </w:pPr>
      <w:bookmarkStart w:colFirst="0" w:colLast="0" w:name="_41mghml" w:id="69"/>
      <w:bookmarkEnd w:id="69"/>
      <w:r w:rsidDel="00000000" w:rsidR="00000000" w:rsidRPr="00000000">
        <w:rPr>
          <w:rtl w:val="0"/>
        </w:rPr>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pacing w:after="0" w:before="0" w:line="240" w:lineRule="auto"/>
        <w:rPr>
          <w:rFonts w:ascii="Open Sans" w:cs="Open Sans" w:eastAsia="Open Sans" w:hAnsi="Open Sans"/>
          <w:b w:val="1"/>
        </w:rPr>
      </w:pPr>
      <w:bookmarkStart w:colFirst="0" w:colLast="0" w:name="_m8dj83hr9mo3" w:id="70"/>
      <w:bookmarkEnd w:id="70"/>
      <w:r w:rsidDel="00000000" w:rsidR="00000000" w:rsidRPr="00000000">
        <w:rPr>
          <w:rFonts w:ascii="Open Sans" w:cs="Open Sans" w:eastAsia="Open Sans" w:hAnsi="Open Sans"/>
          <w:b w:val="1"/>
          <w:rtl w:val="0"/>
        </w:rPr>
        <w:t xml:space="preserve">Ryan Mende</w:t>
      </w: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pacing w:after="0"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Born: 1992</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pacing w:after="0" w:before="0" w:line="240"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pacing w:after="0" w:before="0"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Educational Background</w:t>
      </w:r>
    </w:p>
    <w:p w:rsidR="00000000" w:rsidDel="00000000" w:rsidP="00000000" w:rsidRDefault="00000000" w:rsidRPr="00000000" w14:paraId="000001A2">
      <w:pPr>
        <w:pageBreakBefore w:val="0"/>
        <w:numPr>
          <w:ilvl w:val="0"/>
          <w:numId w:val="5"/>
        </w:numPr>
        <w:pBdr>
          <w:top w:space="0" w:sz="0" w:val="nil"/>
          <w:left w:space="0" w:sz="0" w:val="nil"/>
          <w:bottom w:space="0" w:sz="0" w:val="nil"/>
          <w:right w:space="0" w:sz="0" w:val="nil"/>
          <w:between w:space="0" w:sz="0" w:val="nil"/>
        </w:pBdr>
        <w:spacing w:after="0" w:before="0" w:line="240" w:lineRule="auto"/>
        <w:ind w:left="720" w:hanging="360"/>
        <w:jc w:val="both"/>
        <w:rPr>
          <w:rFonts w:ascii="Open Sans" w:cs="Open Sans" w:eastAsia="Open Sans" w:hAnsi="Open Sans"/>
          <w:sz w:val="18"/>
          <w:szCs w:val="18"/>
        </w:rPr>
      </w:pPr>
      <w:r w:rsidDel="00000000" w:rsidR="00000000" w:rsidRPr="00000000">
        <w:rPr>
          <w:rFonts w:ascii="Open Sans" w:cs="Open Sans" w:eastAsia="Open Sans" w:hAnsi="Open Sans"/>
          <w:sz w:val="20"/>
          <w:szCs w:val="20"/>
          <w:rtl w:val="0"/>
        </w:rPr>
        <w:t xml:space="preserve">2015 – Economics, Boise State University</w:t>
      </w: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pacing w:after="0" w:before="0"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Business Experience </w:t>
      </w:r>
      <w:r w:rsidDel="00000000" w:rsidR="00000000" w:rsidRPr="00000000">
        <w:rPr>
          <w:rtl w:val="0"/>
        </w:rPr>
      </w:r>
    </w:p>
    <w:p w:rsidR="00000000" w:rsidDel="00000000" w:rsidP="00000000" w:rsidRDefault="00000000" w:rsidRPr="00000000" w14:paraId="000001A5">
      <w:pPr>
        <w:pageBreakBefore w:val="0"/>
        <w:numPr>
          <w:ilvl w:val="0"/>
          <w:numId w:val="5"/>
        </w:numPr>
        <w:pBdr>
          <w:top w:space="0" w:sz="0" w:val="nil"/>
          <w:left w:space="0" w:sz="0" w:val="nil"/>
          <w:bottom w:space="0" w:sz="0" w:val="nil"/>
          <w:right w:space="0" w:sz="0" w:val="nil"/>
          <w:between w:space="0" w:sz="0" w:val="nil"/>
        </w:pBdr>
        <w:spacing w:after="0" w:before="0"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01/2025 – Present, Mende Financial Council, Inc., CEO and CCO</w:t>
      </w:r>
    </w:p>
    <w:p w:rsidR="00000000" w:rsidDel="00000000" w:rsidP="00000000" w:rsidRDefault="00000000" w:rsidRPr="00000000" w14:paraId="000001A6">
      <w:pPr>
        <w:pageBreakBefore w:val="0"/>
        <w:numPr>
          <w:ilvl w:val="0"/>
          <w:numId w:val="5"/>
        </w:numPr>
        <w:pBdr>
          <w:top w:space="0" w:sz="0" w:val="nil"/>
          <w:left w:space="0" w:sz="0" w:val="nil"/>
          <w:bottom w:space="0" w:sz="0" w:val="nil"/>
          <w:right w:space="0" w:sz="0" w:val="nil"/>
          <w:between w:space="0" w:sz="0" w:val="nil"/>
        </w:pBdr>
        <w:spacing w:after="0" w:before="0" w:line="240" w:lineRule="auto"/>
        <w:ind w:left="720" w:hanging="36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08/2024 – 01/2025, Unemployed</w:t>
      </w:r>
    </w:p>
    <w:p w:rsidR="00000000" w:rsidDel="00000000" w:rsidP="00000000" w:rsidRDefault="00000000" w:rsidRPr="00000000" w14:paraId="000001A7">
      <w:pPr>
        <w:pageBreakBefore w:val="0"/>
        <w:numPr>
          <w:ilvl w:val="0"/>
          <w:numId w:val="5"/>
        </w:numPr>
        <w:pBdr>
          <w:top w:space="0" w:sz="0" w:val="nil"/>
          <w:left w:space="0" w:sz="0" w:val="nil"/>
          <w:bottom w:space="0" w:sz="0" w:val="nil"/>
          <w:right w:space="0" w:sz="0" w:val="nil"/>
          <w:between w:space="0" w:sz="0" w:val="nil"/>
        </w:pBdr>
        <w:spacing w:after="0" w:before="0" w:line="240" w:lineRule="auto"/>
        <w:ind w:left="720" w:hanging="36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03/2017 – 08/2024, Charles Schwab &amp; Co., Inc., Shared Employee</w:t>
      </w:r>
    </w:p>
    <w:p w:rsidR="00000000" w:rsidDel="00000000" w:rsidP="00000000" w:rsidRDefault="00000000" w:rsidRPr="00000000" w14:paraId="000001A8">
      <w:pPr>
        <w:pageBreakBefore w:val="0"/>
        <w:numPr>
          <w:ilvl w:val="0"/>
          <w:numId w:val="5"/>
        </w:numPr>
        <w:pBdr>
          <w:top w:space="0" w:sz="0" w:val="nil"/>
          <w:left w:space="0" w:sz="0" w:val="nil"/>
          <w:bottom w:space="0" w:sz="0" w:val="nil"/>
          <w:right w:space="0" w:sz="0" w:val="nil"/>
          <w:between w:space="0" w:sz="0" w:val="nil"/>
        </w:pBdr>
        <w:spacing w:after="0" w:before="0" w:line="240" w:lineRule="auto"/>
        <w:ind w:left="720" w:hanging="36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07/2015 – 08/2024, Charles Schwab &amp; Co., Inc., VP Financial Consultant</w:t>
      </w:r>
    </w:p>
    <w:p w:rsidR="00000000" w:rsidDel="00000000" w:rsidP="00000000" w:rsidRDefault="00000000" w:rsidRPr="00000000" w14:paraId="000001A9">
      <w:pPr>
        <w:pageBreakBefore w:val="0"/>
        <w:numPr>
          <w:ilvl w:val="0"/>
          <w:numId w:val="5"/>
        </w:numPr>
        <w:pBdr>
          <w:top w:space="0" w:sz="0" w:val="nil"/>
          <w:left w:space="0" w:sz="0" w:val="nil"/>
          <w:bottom w:space="0" w:sz="0" w:val="nil"/>
          <w:right w:space="0" w:sz="0" w:val="nil"/>
          <w:between w:space="0" w:sz="0" w:val="nil"/>
        </w:pBdr>
        <w:spacing w:after="0" w:before="0" w:line="240" w:lineRule="auto"/>
        <w:ind w:left="720" w:hanging="360"/>
        <w:jc w:val="both"/>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04/1996 – 05/2015, Student</w:t>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pacing w:after="0" w:before="0" w:line="240" w:lineRule="auto"/>
        <w:ind w:left="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1AB">
      <w:pPr>
        <w:pStyle w:val="Title"/>
        <w:pageBreakBefore w:val="0"/>
        <w:spacing w:after="0" w:lineRule="auto"/>
        <w:rPr>
          <w:rFonts w:ascii="Open Sans" w:cs="Open Sans" w:eastAsia="Open Sans" w:hAnsi="Open Sans"/>
          <w:sz w:val="30"/>
          <w:szCs w:val="30"/>
        </w:rPr>
      </w:pPr>
      <w:bookmarkStart w:colFirst="0" w:colLast="0" w:name="_vx1227" w:id="71"/>
      <w:bookmarkEnd w:id="71"/>
      <w:r w:rsidDel="00000000" w:rsidR="00000000" w:rsidRPr="00000000">
        <w:rPr>
          <w:rFonts w:ascii="Open Sans" w:cs="Open Sans" w:eastAsia="Open Sans" w:hAnsi="Open Sans"/>
          <w:sz w:val="30"/>
          <w:szCs w:val="30"/>
          <w:rtl w:val="0"/>
        </w:rPr>
        <w:t xml:space="preserve">Item 3: Disciplinary Information</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bookmarkStart w:colFirst="0" w:colLast="0" w:name="_mlpzn225mu5x" w:id="72"/>
      <w:bookmarkEnd w:id="72"/>
      <w:r w:rsidDel="00000000" w:rsidR="00000000" w:rsidRPr="00000000">
        <w:rPr>
          <w:rFonts w:ascii="Open Sans" w:cs="Open Sans" w:eastAsia="Open Sans" w:hAnsi="Open Sans"/>
          <w:sz w:val="20"/>
          <w:szCs w:val="20"/>
          <w:rtl w:val="0"/>
        </w:rPr>
        <w:t xml:space="preserve">Ryan Mende</w:t>
      </w:r>
      <w:r w:rsidDel="00000000" w:rsidR="00000000" w:rsidRPr="00000000">
        <w:rPr>
          <w:rFonts w:ascii="Open Sans" w:cs="Open Sans" w:eastAsia="Open Sans" w:hAnsi="Open Sans"/>
          <w:sz w:val="20"/>
          <w:szCs w:val="20"/>
          <w:rtl w:val="0"/>
        </w:rPr>
        <w:t xml:space="preserve"> has never been involved in an arbitration claim of any kind or been found liable in a civil, self-regulatory organization, or administrative proceeding.</w:t>
      </w:r>
    </w:p>
    <w:p w:rsidR="00000000" w:rsidDel="00000000" w:rsidP="00000000" w:rsidRDefault="00000000" w:rsidRPr="00000000" w14:paraId="000001AD">
      <w:pPr>
        <w:pStyle w:val="Title"/>
        <w:pageBreakBefore w:val="0"/>
        <w:spacing w:after="0" w:lineRule="auto"/>
        <w:rPr>
          <w:rFonts w:ascii="Open Sans" w:cs="Open Sans" w:eastAsia="Open Sans" w:hAnsi="Open Sans"/>
          <w:sz w:val="30"/>
          <w:szCs w:val="30"/>
        </w:rPr>
      </w:pPr>
      <w:bookmarkStart w:colFirst="0" w:colLast="0" w:name="_rzwjf4l6c87t" w:id="73"/>
      <w:bookmarkEnd w:id="73"/>
      <w:r w:rsidDel="00000000" w:rsidR="00000000" w:rsidRPr="00000000">
        <w:rPr>
          <w:rtl w:val="0"/>
        </w:rPr>
      </w:r>
    </w:p>
    <w:p w:rsidR="00000000" w:rsidDel="00000000" w:rsidP="00000000" w:rsidRDefault="00000000" w:rsidRPr="00000000" w14:paraId="000001AE">
      <w:pPr>
        <w:pStyle w:val="Title"/>
        <w:pageBreakBefore w:val="0"/>
        <w:spacing w:after="0" w:lineRule="auto"/>
        <w:rPr>
          <w:rFonts w:ascii="Open Sans" w:cs="Open Sans" w:eastAsia="Open Sans" w:hAnsi="Open Sans"/>
          <w:sz w:val="30"/>
          <w:szCs w:val="30"/>
        </w:rPr>
      </w:pPr>
      <w:bookmarkStart w:colFirst="0" w:colLast="0" w:name="_b557vjqgr811" w:id="74"/>
      <w:bookmarkEnd w:id="74"/>
      <w:r w:rsidDel="00000000" w:rsidR="00000000" w:rsidRPr="00000000">
        <w:rPr>
          <w:rFonts w:ascii="Open Sans" w:cs="Open Sans" w:eastAsia="Open Sans" w:hAnsi="Open Sans"/>
          <w:sz w:val="30"/>
          <w:szCs w:val="30"/>
          <w:rtl w:val="0"/>
        </w:rPr>
        <w:t xml:space="preserve">Item 4: Other Business Activities</w:t>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Ryan Mende is not involved in any investment-related outside business activities or other businesses that take 10% of their time or income.</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color w:val="0070c0"/>
          <w:sz w:val="20"/>
          <w:szCs w:val="20"/>
        </w:rPr>
      </w:pPr>
      <w:r w:rsidDel="00000000" w:rsidR="00000000" w:rsidRPr="00000000">
        <w:rPr>
          <w:rtl w:val="0"/>
        </w:rPr>
      </w:r>
    </w:p>
    <w:p w:rsidR="00000000" w:rsidDel="00000000" w:rsidP="00000000" w:rsidRDefault="00000000" w:rsidRPr="00000000" w14:paraId="000001B1">
      <w:pPr>
        <w:pStyle w:val="Title"/>
        <w:pageBreakBefore w:val="0"/>
        <w:spacing w:after="0" w:lineRule="auto"/>
        <w:jc w:val="both"/>
        <w:rPr>
          <w:rFonts w:ascii="Open Sans" w:cs="Open Sans" w:eastAsia="Open Sans" w:hAnsi="Open Sans"/>
          <w:sz w:val="30"/>
          <w:szCs w:val="30"/>
        </w:rPr>
      </w:pPr>
      <w:bookmarkStart w:colFirst="0" w:colLast="0" w:name="_3cj0gdgpu2vg" w:id="75"/>
      <w:bookmarkEnd w:id="75"/>
      <w:r w:rsidDel="00000000" w:rsidR="00000000" w:rsidRPr="00000000">
        <w:rPr>
          <w:rFonts w:ascii="Open Sans" w:cs="Open Sans" w:eastAsia="Open Sans" w:hAnsi="Open Sans"/>
          <w:sz w:val="30"/>
          <w:szCs w:val="30"/>
          <w:rtl w:val="0"/>
        </w:rPr>
        <w:t xml:space="preserve">Item 5: Additional Compensation</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bookmarkStart w:colFirst="0" w:colLast="0" w:name="_4tuw8pclbwvf" w:id="76"/>
      <w:bookmarkEnd w:id="76"/>
      <w:r w:rsidDel="00000000" w:rsidR="00000000" w:rsidRPr="00000000">
        <w:rPr>
          <w:rFonts w:ascii="Open Sans" w:cs="Open Sans" w:eastAsia="Open Sans" w:hAnsi="Open Sans"/>
          <w:sz w:val="20"/>
          <w:szCs w:val="20"/>
          <w:rtl w:val="0"/>
        </w:rPr>
        <w:t xml:space="preserve">Ryan Mende</w:t>
      </w:r>
      <w:r w:rsidDel="00000000" w:rsidR="00000000" w:rsidRPr="00000000">
        <w:rPr>
          <w:rFonts w:ascii="Open Sans" w:cs="Open Sans" w:eastAsia="Open Sans" w:hAnsi="Open Sans"/>
          <w:sz w:val="20"/>
          <w:szCs w:val="20"/>
          <w:rtl w:val="0"/>
        </w:rPr>
        <w:t xml:space="preserve"> does not receive any economic benefit from any person, company, or organization, in exchange for providing </w:t>
      </w:r>
      <w:r w:rsidDel="00000000" w:rsidR="00000000" w:rsidRPr="00000000">
        <w:rPr>
          <w:rFonts w:ascii="Open Sans" w:cs="Open Sans" w:eastAsia="Open Sans" w:hAnsi="Open Sans"/>
          <w:sz w:val="20"/>
          <w:szCs w:val="20"/>
          <w:rtl w:val="0"/>
        </w:rPr>
        <w:t xml:space="preserve">Client</w:t>
      </w:r>
      <w:r w:rsidDel="00000000" w:rsidR="00000000" w:rsidRPr="00000000">
        <w:rPr>
          <w:rFonts w:ascii="Open Sans" w:cs="Open Sans" w:eastAsia="Open Sans" w:hAnsi="Open Sans"/>
          <w:sz w:val="20"/>
          <w:szCs w:val="20"/>
          <w:rtl w:val="0"/>
        </w:rPr>
        <w:t xml:space="preserve">s advisory services through MFC.</w:t>
      </w:r>
    </w:p>
    <w:p w:rsidR="00000000" w:rsidDel="00000000" w:rsidP="00000000" w:rsidRDefault="00000000" w:rsidRPr="00000000" w14:paraId="000001B3">
      <w:pPr>
        <w:pStyle w:val="Heading1"/>
        <w:pageBreakBefore w:val="0"/>
        <w:spacing w:after="0" w:lineRule="auto"/>
        <w:jc w:val="both"/>
        <w:rPr>
          <w:rFonts w:ascii="Open Sans" w:cs="Open Sans" w:eastAsia="Open Sans" w:hAnsi="Open Sans"/>
          <w:sz w:val="22"/>
          <w:szCs w:val="22"/>
        </w:rPr>
      </w:pPr>
      <w:bookmarkStart w:colFirst="0" w:colLast="0" w:name="_1up3bonfk44a" w:id="77"/>
      <w:bookmarkEnd w:id="77"/>
      <w:r w:rsidDel="00000000" w:rsidR="00000000" w:rsidRPr="00000000">
        <w:rPr>
          <w:rtl w:val="0"/>
        </w:rPr>
      </w:r>
    </w:p>
    <w:p w:rsidR="00000000" w:rsidDel="00000000" w:rsidP="00000000" w:rsidRDefault="00000000" w:rsidRPr="00000000" w14:paraId="000001B4">
      <w:pPr>
        <w:pStyle w:val="Title"/>
        <w:pageBreakBefore w:val="0"/>
        <w:spacing w:after="0" w:lineRule="auto"/>
        <w:jc w:val="both"/>
        <w:rPr>
          <w:rFonts w:ascii="Open Sans" w:cs="Open Sans" w:eastAsia="Open Sans" w:hAnsi="Open Sans"/>
          <w:sz w:val="30"/>
          <w:szCs w:val="30"/>
        </w:rPr>
      </w:pPr>
      <w:bookmarkStart w:colFirst="0" w:colLast="0" w:name="_e9evmpripx7r" w:id="78"/>
      <w:bookmarkEnd w:id="78"/>
      <w:r w:rsidDel="00000000" w:rsidR="00000000" w:rsidRPr="00000000">
        <w:rPr>
          <w:rFonts w:ascii="Open Sans" w:cs="Open Sans" w:eastAsia="Open Sans" w:hAnsi="Open Sans"/>
          <w:sz w:val="30"/>
          <w:szCs w:val="30"/>
          <w:rtl w:val="0"/>
        </w:rPr>
        <w:t xml:space="preserve">Item 6: Supervision</w:t>
      </w:r>
    </w:p>
    <w:p w:rsidR="00000000" w:rsidDel="00000000" w:rsidP="00000000" w:rsidRDefault="00000000" w:rsidRPr="00000000" w14:paraId="000001B5">
      <w:pPr>
        <w:pageBreakBefore w:val="0"/>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Ryan Mende</w:t>
      </w:r>
      <w:r w:rsidDel="00000000" w:rsidR="00000000" w:rsidRPr="00000000">
        <w:rPr>
          <w:rFonts w:ascii="Open Sans" w:cs="Open Sans" w:eastAsia="Open Sans" w:hAnsi="Open Sans"/>
          <w:sz w:val="20"/>
          <w:szCs w:val="20"/>
          <w:rtl w:val="0"/>
        </w:rPr>
        <w:t xml:space="preserve"> as Chief Compliance Officer of MFC, supervises the advisory activities of our firm. Ryan Mende is bound by and will adhere to the firm’s policies and procedures and Code of Ethics. Clients may contact Ryan Mende at the phone number on this brochure supplement.</w:t>
      </w:r>
      <w:r w:rsidDel="00000000" w:rsidR="00000000" w:rsidRPr="00000000">
        <w:rPr>
          <w:rtl w:val="0"/>
        </w:rPr>
      </w:r>
    </w:p>
    <w:p w:rsidR="00000000" w:rsidDel="00000000" w:rsidP="00000000" w:rsidRDefault="00000000" w:rsidRPr="00000000" w14:paraId="000001B6">
      <w:pPr>
        <w:pStyle w:val="Heading1"/>
        <w:pageBreakBefore w:val="0"/>
        <w:spacing w:after="0" w:lineRule="auto"/>
        <w:jc w:val="both"/>
        <w:rPr>
          <w:rFonts w:ascii="Open Sans" w:cs="Open Sans" w:eastAsia="Open Sans" w:hAnsi="Open Sans"/>
          <w:sz w:val="22"/>
          <w:szCs w:val="22"/>
        </w:rPr>
      </w:pPr>
      <w:bookmarkStart w:colFirst="0" w:colLast="0" w:name="_2u6wntf" w:id="79"/>
      <w:bookmarkEnd w:id="79"/>
      <w:r w:rsidDel="00000000" w:rsidR="00000000" w:rsidRPr="00000000">
        <w:rPr>
          <w:rtl w:val="0"/>
        </w:rPr>
      </w:r>
    </w:p>
    <w:p w:rsidR="00000000" w:rsidDel="00000000" w:rsidP="00000000" w:rsidRDefault="00000000" w:rsidRPr="00000000" w14:paraId="000001B7">
      <w:pPr>
        <w:pStyle w:val="Title"/>
        <w:pageBreakBefore w:val="0"/>
        <w:spacing w:after="0" w:lineRule="auto"/>
        <w:jc w:val="both"/>
        <w:rPr>
          <w:rFonts w:ascii="Open Sans" w:cs="Open Sans" w:eastAsia="Open Sans" w:hAnsi="Open Sans"/>
          <w:sz w:val="30"/>
          <w:szCs w:val="30"/>
        </w:rPr>
      </w:pPr>
      <w:bookmarkStart w:colFirst="0" w:colLast="0" w:name="_8ptz2mecvyjm" w:id="80"/>
      <w:bookmarkEnd w:id="80"/>
      <w:r w:rsidDel="00000000" w:rsidR="00000000" w:rsidRPr="00000000">
        <w:rPr>
          <w:rFonts w:ascii="Open Sans" w:cs="Open Sans" w:eastAsia="Open Sans" w:hAnsi="Open Sans"/>
          <w:sz w:val="30"/>
          <w:szCs w:val="30"/>
          <w:rtl w:val="0"/>
        </w:rPr>
        <w:t xml:space="preserve">Item 7: Requirements for State Registered Advisers</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Ryan Mende</w:t>
      </w:r>
      <w:r w:rsidDel="00000000" w:rsidR="00000000" w:rsidRPr="00000000">
        <w:rPr>
          <w:rFonts w:ascii="Open Sans" w:cs="Open Sans" w:eastAsia="Open Sans" w:hAnsi="Open Sans"/>
          <w:sz w:val="20"/>
          <w:szCs w:val="20"/>
          <w:rtl w:val="0"/>
        </w:rPr>
        <w:t xml:space="preserve"> has NOT been involved in an arbitration, civil proceeding, self-regulatory proceeding, administrative proceeding, or a bankruptcy petition.</w:t>
      </w:r>
    </w:p>
    <w:p w:rsidR="00000000" w:rsidDel="00000000" w:rsidP="00000000" w:rsidRDefault="00000000" w:rsidRPr="00000000" w14:paraId="000001B9">
      <w:pPr>
        <w:jc w:val="both"/>
        <w:rPr>
          <w:rFonts w:ascii="Open Sans" w:cs="Open Sans" w:eastAsia="Open Sans" w:hAnsi="Open Sans"/>
          <w:b w:val="1"/>
          <w:color w:val="ff0000"/>
        </w:rPr>
      </w:pPr>
      <w:r w:rsidDel="00000000" w:rsidR="00000000" w:rsidRPr="00000000">
        <w:rPr>
          <w:rtl w:val="0"/>
        </w:rPr>
      </w:r>
    </w:p>
    <w:p w:rsidR="00000000" w:rsidDel="00000000" w:rsidP="00000000" w:rsidRDefault="00000000" w:rsidRPr="00000000" w14:paraId="000001BA">
      <w:pPr>
        <w:spacing w:line="240" w:lineRule="auto"/>
        <w:rPr>
          <w:rFonts w:ascii="Open Sans" w:cs="Open Sans" w:eastAsia="Open Sans" w:hAnsi="Open Sans"/>
          <w:b w:val="1"/>
          <w:color w:val="ff0000"/>
        </w:rPr>
      </w:pPr>
      <w:r w:rsidDel="00000000" w:rsidR="00000000" w:rsidRPr="00000000">
        <w:rPr>
          <w:rtl w:val="0"/>
        </w:rPr>
      </w:r>
    </w:p>
    <w:sectPr>
      <w:type w:val="continuous"/>
      <w:pgSz w:h="15840" w:w="12240" w:orient="portrait"/>
      <w:pgMar w:bottom="1440" w:top="1440" w:left="1080" w:right="10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before="72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300" w:line="240" w:lineRule="auto"/>
    </w:pPr>
    <w:rPr>
      <w:color w:val="595959"/>
      <w:sz w:val="52"/>
      <w:szCs w:val="52"/>
    </w:rPr>
  </w:style>
  <w:style w:type="paragraph" w:styleId="Heading2">
    <w:name w:val="heading 2"/>
    <w:basedOn w:val="Normal"/>
    <w:next w:val="Normal"/>
    <w:pPr>
      <w:keepNext w:val="1"/>
      <w:keepLines w:val="1"/>
      <w:pageBreakBefore w:val="0"/>
      <w:spacing w:after="0" w:before="200" w:line="276" w:lineRule="auto"/>
    </w:pPr>
    <w:rPr>
      <w:b w:val="1"/>
      <w:color w:val="5b9bd5"/>
      <w:sz w:val="26"/>
      <w:szCs w:val="26"/>
    </w:rPr>
  </w:style>
  <w:style w:type="paragraph" w:styleId="Heading3">
    <w:name w:val="heading 3"/>
    <w:basedOn w:val="Normal"/>
    <w:next w:val="Normal"/>
    <w:pPr>
      <w:keepNext w:val="1"/>
      <w:keepLines w:val="1"/>
      <w:pageBreakBefore w:val="0"/>
      <w:spacing w:after="0" w:before="200" w:line="276" w:lineRule="auto"/>
    </w:pPr>
    <w:rPr>
      <w:b w:val="1"/>
      <w:color w:val="5b9bd5"/>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300" w:line="240" w:lineRule="auto"/>
    </w:pPr>
    <w:rPr>
      <w:color w:val="595959"/>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www.adviserinfo.sec.gov" TargetMode="Externa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www.adviserinfo.sec.gov"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