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A1" w:rsidRDefault="002109A1" w:rsidP="00273D7F">
      <w:pPr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Equity Arts Champion   www.Triggraphix.com</w:t>
      </w:r>
    </w:p>
    <w:p w:rsidR="007E3A2E" w:rsidRPr="00F06205" w:rsidRDefault="007E3A2E" w:rsidP="00273D7F">
      <w:pPr>
        <w:spacing w:after="0" w:line="240" w:lineRule="auto"/>
        <w:contextualSpacing/>
        <w:rPr>
          <w:b/>
          <w:sz w:val="28"/>
          <w:szCs w:val="28"/>
        </w:rPr>
      </w:pPr>
      <w:r w:rsidRPr="00F06205">
        <w:rPr>
          <w:b/>
          <w:sz w:val="28"/>
          <w:szCs w:val="28"/>
        </w:rPr>
        <w:t xml:space="preserve">Template </w:t>
      </w:r>
      <w:r w:rsidR="00F06205">
        <w:rPr>
          <w:b/>
          <w:sz w:val="28"/>
          <w:szCs w:val="28"/>
        </w:rPr>
        <w:t>N</w:t>
      </w:r>
      <w:r w:rsidRPr="00F06205">
        <w:rPr>
          <w:b/>
          <w:sz w:val="28"/>
          <w:szCs w:val="28"/>
        </w:rPr>
        <w:t xml:space="preserve">ewsletter for </w:t>
      </w:r>
      <w:r w:rsidR="00F06205">
        <w:rPr>
          <w:b/>
          <w:sz w:val="28"/>
          <w:szCs w:val="28"/>
        </w:rPr>
        <w:t>O</w:t>
      </w:r>
      <w:r w:rsidRPr="00F06205">
        <w:rPr>
          <w:b/>
          <w:sz w:val="28"/>
          <w:szCs w:val="28"/>
        </w:rPr>
        <w:t xml:space="preserve">rganizations to </w:t>
      </w:r>
      <w:r w:rsidR="00F06205">
        <w:rPr>
          <w:b/>
          <w:sz w:val="28"/>
          <w:szCs w:val="28"/>
        </w:rPr>
        <w:t>S</w:t>
      </w:r>
      <w:r w:rsidRPr="00F06205">
        <w:rPr>
          <w:b/>
          <w:sz w:val="28"/>
          <w:szCs w:val="28"/>
        </w:rPr>
        <w:t xml:space="preserve">end to their </w:t>
      </w:r>
      <w:r w:rsidR="00F06205">
        <w:rPr>
          <w:b/>
          <w:sz w:val="28"/>
          <w:szCs w:val="28"/>
        </w:rPr>
        <w:t>M</w:t>
      </w:r>
      <w:r w:rsidRPr="00F06205">
        <w:rPr>
          <w:b/>
          <w:sz w:val="28"/>
          <w:szCs w:val="28"/>
        </w:rPr>
        <w:t xml:space="preserve">embers and </w:t>
      </w:r>
      <w:r w:rsidR="00F06205">
        <w:rPr>
          <w:b/>
          <w:sz w:val="28"/>
          <w:szCs w:val="28"/>
        </w:rPr>
        <w:t>N</w:t>
      </w:r>
      <w:r w:rsidRPr="00F06205">
        <w:rPr>
          <w:b/>
          <w:sz w:val="28"/>
          <w:szCs w:val="28"/>
        </w:rPr>
        <w:t>etworks</w:t>
      </w:r>
    </w:p>
    <w:p w:rsidR="00273D7F" w:rsidRDefault="00273D7F" w:rsidP="00273D7F">
      <w:pPr>
        <w:shd w:val="clear" w:color="auto" w:fill="FFFFFF"/>
        <w:spacing w:after="0" w:line="240" w:lineRule="auto"/>
        <w:rPr>
          <w:rFonts w:cstheme="minorHAnsi"/>
        </w:rPr>
      </w:pPr>
    </w:p>
    <w:p w:rsidR="000B29AE" w:rsidRPr="006D575B" w:rsidRDefault="000B29AE" w:rsidP="00273D7F">
      <w:pPr>
        <w:shd w:val="clear" w:color="auto" w:fill="FFFFFF"/>
        <w:spacing w:after="0" w:line="240" w:lineRule="auto"/>
        <w:rPr>
          <w:rFonts w:cstheme="minorHAnsi"/>
        </w:rPr>
      </w:pPr>
      <w:r w:rsidRPr="006D575B">
        <w:rPr>
          <w:rFonts w:cstheme="minorHAnsi"/>
        </w:rPr>
        <w:t>Dear [</w:t>
      </w:r>
      <w:r w:rsidR="002109A1">
        <w:rPr>
          <w:rFonts w:cstheme="minorHAnsi"/>
        </w:rPr>
        <w:t>Council</w:t>
      </w:r>
      <w:r w:rsidR="001D3174">
        <w:rPr>
          <w:rFonts w:cstheme="minorHAnsi"/>
        </w:rPr>
        <w:t xml:space="preserve"> Board members</w:t>
      </w:r>
      <w:r w:rsidRPr="006D575B">
        <w:rPr>
          <w:rFonts w:cstheme="minorHAnsi"/>
        </w:rPr>
        <w:t>],</w:t>
      </w:r>
    </w:p>
    <w:p w:rsidR="00351D0E" w:rsidRDefault="00351D0E" w:rsidP="000B29AE">
      <w:pPr>
        <w:spacing w:after="0" w:line="240" w:lineRule="auto"/>
        <w:rPr>
          <w:rFonts w:cstheme="minorHAnsi"/>
          <w:b/>
          <w:bCs/>
        </w:rPr>
      </w:pPr>
    </w:p>
    <w:p w:rsidR="000B29AE" w:rsidRPr="006D575B" w:rsidRDefault="000B29AE" w:rsidP="000B29AE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6D575B">
        <w:rPr>
          <w:rFonts w:cstheme="minorHAnsi"/>
          <w:b/>
          <w:bCs/>
        </w:rPr>
        <w:t xml:space="preserve">All California students deserve to have access to quality arts education to provide them with </w:t>
      </w:r>
      <w:r>
        <w:rPr>
          <w:rFonts w:cstheme="minorHAnsi"/>
          <w:b/>
          <w:bCs/>
        </w:rPr>
        <w:t xml:space="preserve">the </w:t>
      </w:r>
      <w:r w:rsidRPr="006D575B">
        <w:rPr>
          <w:rFonts w:cstheme="minorHAnsi"/>
          <w:b/>
          <w:bCs/>
        </w:rPr>
        <w:t xml:space="preserve">skills they need to succeed in college, career and life. </w:t>
      </w:r>
    </w:p>
    <w:p w:rsidR="000B29AE" w:rsidRPr="006D575B" w:rsidRDefault="000B29AE" w:rsidP="000B29AE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:rsidR="000B29AE" w:rsidRPr="006D575B" w:rsidRDefault="000B29AE" w:rsidP="00C86AFA">
      <w:pPr>
        <w:spacing w:after="0" w:line="240" w:lineRule="auto"/>
        <w:rPr>
          <w:rFonts w:cstheme="minorHAnsi"/>
        </w:rPr>
      </w:pPr>
      <w:r w:rsidRPr="006D575B">
        <w:rPr>
          <w:rFonts w:cstheme="minorHAnsi"/>
        </w:rPr>
        <w:t>Art</w:t>
      </w:r>
      <w:r>
        <w:rPr>
          <w:rFonts w:cstheme="minorHAnsi"/>
        </w:rPr>
        <w:t>s learning</w:t>
      </w:r>
      <w:r w:rsidRPr="006D575B">
        <w:rPr>
          <w:rFonts w:cstheme="minorHAnsi"/>
        </w:rPr>
        <w:t xml:space="preserve"> is an essential component of a comprehensive education. Appreciating and understanding </w:t>
      </w:r>
      <w:r>
        <w:rPr>
          <w:rFonts w:cstheme="minorHAnsi"/>
        </w:rPr>
        <w:t>the arts</w:t>
      </w:r>
      <w:r w:rsidRPr="006D575B">
        <w:rPr>
          <w:rFonts w:cstheme="minorHAnsi"/>
        </w:rPr>
        <w:t xml:space="preserve"> promotes critical thinking, tolerance and empathy and supports overall academic achievement throughout </w:t>
      </w:r>
      <w:r>
        <w:rPr>
          <w:rFonts w:cstheme="minorHAnsi"/>
        </w:rPr>
        <w:t>p</w:t>
      </w:r>
      <w:r w:rsidRPr="006D575B">
        <w:rPr>
          <w:rFonts w:cstheme="minorHAnsi"/>
        </w:rPr>
        <w:t>re</w:t>
      </w:r>
      <w:r>
        <w:rPr>
          <w:rFonts w:cstheme="minorHAnsi"/>
        </w:rPr>
        <w:t>-</w:t>
      </w:r>
      <w:r w:rsidRPr="006D575B">
        <w:rPr>
          <w:rFonts w:cstheme="minorHAnsi"/>
        </w:rPr>
        <w:t xml:space="preserve">K-12 and </w:t>
      </w:r>
      <w:r w:rsidR="001D3174">
        <w:rPr>
          <w:rFonts w:cstheme="minorHAnsi"/>
        </w:rPr>
        <w:t>Adult education</w:t>
      </w:r>
      <w:r w:rsidRPr="006D575B">
        <w:rPr>
          <w:rFonts w:cstheme="minorHAnsi"/>
        </w:rPr>
        <w:t xml:space="preserve">. Arts education is </w:t>
      </w:r>
      <w:r>
        <w:rPr>
          <w:rFonts w:cstheme="minorHAnsi"/>
        </w:rPr>
        <w:t>associated</w:t>
      </w:r>
      <w:r w:rsidRPr="006D575B">
        <w:rPr>
          <w:rFonts w:cstheme="minorHAnsi"/>
        </w:rPr>
        <w:t xml:space="preserve"> with higher attendance rates</w:t>
      </w:r>
      <w:r>
        <w:rPr>
          <w:rFonts w:cstheme="minorHAnsi"/>
        </w:rPr>
        <w:t xml:space="preserve"> and</w:t>
      </w:r>
      <w:r w:rsidRPr="006D575B">
        <w:rPr>
          <w:rFonts w:cstheme="minorHAnsi"/>
        </w:rPr>
        <w:t xml:space="preserve"> graduation rates, </w:t>
      </w:r>
      <w:r w:rsidR="00F032FD">
        <w:rPr>
          <w:rFonts w:cstheme="minorHAnsi"/>
        </w:rPr>
        <w:t xml:space="preserve">and </w:t>
      </w:r>
      <w:r w:rsidRPr="006D575B">
        <w:rPr>
          <w:rFonts w:cstheme="minorHAnsi"/>
        </w:rPr>
        <w:t xml:space="preserve">improved test scores and achievement in English language arts, literacy and math </w:t>
      </w:r>
      <w:r w:rsidR="001D3174">
        <w:rPr>
          <w:rFonts w:cstheme="minorHAnsi"/>
        </w:rPr>
        <w:t xml:space="preserve">and entrepreneurship </w:t>
      </w:r>
      <w:r w:rsidRPr="006D575B">
        <w:rPr>
          <w:rFonts w:cstheme="minorHAnsi"/>
        </w:rPr>
        <w:t xml:space="preserve">skills. </w:t>
      </w:r>
    </w:p>
    <w:p w:rsidR="00C86AFA" w:rsidRDefault="00C86AFA" w:rsidP="00C86AFA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</w:p>
    <w:p w:rsidR="000B29AE" w:rsidRPr="006D575B" w:rsidRDefault="000B29AE" w:rsidP="00C86AFA">
      <w:pPr>
        <w:spacing w:after="0" w:line="240" w:lineRule="auto"/>
        <w:rPr>
          <w:rFonts w:cstheme="minorHAnsi"/>
        </w:rPr>
      </w:pPr>
      <w:r w:rsidRPr="006D575B">
        <w:rPr>
          <w:rFonts w:cstheme="minorHAnsi"/>
          <w:b/>
          <w:bCs/>
          <w:color w:val="000000"/>
          <w:shd w:val="clear" w:color="auto" w:fill="FFFFFF"/>
        </w:rPr>
        <w:t>For these reasons,</w:t>
      </w:r>
      <w:r w:rsidRPr="006D575B">
        <w:rPr>
          <w:rFonts w:cstheme="minorHAnsi"/>
          <w:color w:val="000000"/>
          <w:shd w:val="clear" w:color="auto" w:fill="FFFFFF"/>
        </w:rPr>
        <w:t xml:space="preserve"> 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we </w:t>
      </w:r>
      <w:r>
        <w:rPr>
          <w:rFonts w:cstheme="minorHAnsi"/>
          <w:b/>
          <w:bCs/>
          <w:color w:val="000000"/>
          <w:shd w:val="clear" w:color="auto" w:fill="FFFFFF"/>
        </w:rPr>
        <w:t>request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 that you 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ask 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your school board to adopt the </w:t>
      </w:r>
      <w:r w:rsidRPr="003D27DB">
        <w:rPr>
          <w:rFonts w:cstheme="minorHAnsi"/>
          <w:b/>
          <w:bCs/>
          <w:iCs/>
          <w:color w:val="000000"/>
          <w:shd w:val="clear" w:color="auto" w:fill="FFFFFF"/>
        </w:rPr>
        <w:t>Declaration of the Rights of All Students to Equity in Arts Learning</w:t>
      </w:r>
      <w:r w:rsidRPr="001D56A5">
        <w:rPr>
          <w:rFonts w:cstheme="minorHAnsi"/>
          <w:color w:val="000000"/>
          <w:shd w:val="clear" w:color="auto" w:fill="FFFFFF"/>
        </w:rPr>
        <w:t>,</w:t>
      </w:r>
      <w:r w:rsidRPr="006D575B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which</w:t>
      </w:r>
      <w:r w:rsidRPr="006D575B">
        <w:rPr>
          <w:rFonts w:cstheme="minorHAnsi"/>
          <w:color w:val="000000"/>
          <w:shd w:val="clear" w:color="auto" w:fill="FFFFFF"/>
        </w:rPr>
        <w:t xml:space="preserve"> outlines </w:t>
      </w:r>
      <w:r>
        <w:rPr>
          <w:rFonts w:cstheme="minorHAnsi"/>
          <w:color w:val="000000"/>
          <w:shd w:val="clear" w:color="auto" w:fill="FFFFFF"/>
        </w:rPr>
        <w:t xml:space="preserve">all students’ </w:t>
      </w:r>
      <w:r w:rsidRPr="006D575B">
        <w:rPr>
          <w:rFonts w:cstheme="minorHAnsi"/>
        </w:rPr>
        <w:t xml:space="preserve">right to have access to high-quality public arts education, regardless of </w:t>
      </w:r>
      <w:r>
        <w:rPr>
          <w:rFonts w:cstheme="minorHAnsi"/>
        </w:rPr>
        <w:t xml:space="preserve">their </w:t>
      </w:r>
      <w:r>
        <w:t>background, culture, language or geographic location.</w:t>
      </w:r>
      <w:r w:rsidRPr="00B059F8">
        <w:t xml:space="preserve"> Create</w:t>
      </w:r>
      <w:r w:rsidR="00F40DF0">
        <w:t xml:space="preserve"> </w:t>
      </w:r>
      <w:r w:rsidRPr="00B059F8">
        <w:t>CA will recognize you</w:t>
      </w:r>
      <w:r>
        <w:t>r district</w:t>
      </w:r>
      <w:r w:rsidRPr="00B059F8">
        <w:t xml:space="preserve"> on </w:t>
      </w:r>
      <w:r>
        <w:t>its</w:t>
      </w:r>
      <w:r w:rsidRPr="00B059F8">
        <w:t xml:space="preserve"> statewide map of Arts Equity Districts.</w:t>
      </w:r>
    </w:p>
    <w:p w:rsidR="000B29AE" w:rsidRPr="006D575B" w:rsidRDefault="000B29AE" w:rsidP="000B29AE">
      <w:pPr>
        <w:spacing w:after="0" w:line="240" w:lineRule="auto"/>
        <w:rPr>
          <w:rFonts w:cstheme="minorHAnsi"/>
        </w:rPr>
      </w:pPr>
    </w:p>
    <w:p w:rsidR="000B29AE" w:rsidRPr="006D575B" w:rsidRDefault="000B29AE" w:rsidP="000B29AE">
      <w:pPr>
        <w:spacing w:after="0" w:line="240" w:lineRule="auto"/>
        <w:rPr>
          <w:rFonts w:cstheme="minorHAnsi"/>
          <w:b/>
          <w:bCs/>
        </w:rPr>
      </w:pPr>
      <w:r w:rsidRPr="006D575B">
        <w:rPr>
          <w:rFonts w:cstheme="minorHAnsi"/>
          <w:b/>
          <w:bCs/>
          <w:color w:val="000000"/>
          <w:shd w:val="clear" w:color="auto" w:fill="FFFFFF"/>
        </w:rPr>
        <w:t>Your district can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take steps toward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/>
          <w:shd w:val="clear" w:color="auto" w:fill="FFFFFF"/>
        </w:rPr>
        <w:t>fulfilling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 the </w:t>
      </w:r>
      <w:r>
        <w:rPr>
          <w:rFonts w:cstheme="minorHAnsi"/>
          <w:b/>
          <w:bCs/>
          <w:color w:val="000000"/>
          <w:shd w:val="clear" w:color="auto" w:fill="FFFFFF"/>
        </w:rPr>
        <w:t>Declaration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 through 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one or more of </w:t>
      </w:r>
      <w:r w:rsidRPr="006D575B">
        <w:rPr>
          <w:rFonts w:cstheme="minorHAnsi"/>
          <w:b/>
          <w:bCs/>
          <w:color w:val="000000"/>
          <w:shd w:val="clear" w:color="auto" w:fill="FFFFFF"/>
        </w:rPr>
        <w:t xml:space="preserve">the following actions: </w:t>
      </w:r>
    </w:p>
    <w:p w:rsidR="000B29AE" w:rsidRPr="006D575B" w:rsidRDefault="000B29AE" w:rsidP="000B29A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b/>
          <w:bCs/>
        </w:rPr>
      </w:pPr>
      <w:r w:rsidRPr="006D575B">
        <w:rPr>
          <w:rFonts w:cstheme="minorHAnsi"/>
        </w:rPr>
        <w:t>Posting the Art</w:t>
      </w:r>
      <w:r>
        <w:rPr>
          <w:rFonts w:cstheme="minorHAnsi"/>
        </w:rPr>
        <w:t>s Equity District badge on the d</w:t>
      </w:r>
      <w:r w:rsidRPr="006D575B">
        <w:rPr>
          <w:rFonts w:cstheme="minorHAnsi"/>
        </w:rPr>
        <w:t>istrict’s website and social media channels</w:t>
      </w:r>
      <w:r>
        <w:rPr>
          <w:rFonts w:cstheme="minorHAnsi"/>
        </w:rPr>
        <w:t>.</w:t>
      </w:r>
    </w:p>
    <w:p w:rsidR="000B29AE" w:rsidRPr="0047161F" w:rsidRDefault="000B29AE" w:rsidP="000B29AE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47161F">
        <w:rPr>
          <w:rFonts w:cstheme="minorHAnsi"/>
        </w:rPr>
        <w:t>Asking staff members to encourage students to participate</w:t>
      </w:r>
      <w:r>
        <w:rPr>
          <w:rFonts w:cstheme="minorHAnsi"/>
        </w:rPr>
        <w:t xml:space="preserve"> </w:t>
      </w:r>
      <w:r>
        <w:t xml:space="preserve">in arts education as part of their classes and through visual and media arts, music, dance and theatre arts courses. </w:t>
      </w:r>
    </w:p>
    <w:p w:rsidR="000B29AE" w:rsidRPr="002B3296" w:rsidRDefault="000B29AE" w:rsidP="000B29A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2B3296">
        <w:rPr>
          <w:rFonts w:cstheme="minorHAnsi"/>
        </w:rPr>
        <w:t xml:space="preserve">Understanding and analyzing the district’s </w:t>
      </w:r>
      <w:r>
        <w:t xml:space="preserve">secondary school </w:t>
      </w:r>
      <w:r w:rsidRPr="002B3296">
        <w:rPr>
          <w:rFonts w:cstheme="minorHAnsi"/>
        </w:rPr>
        <w:t xml:space="preserve">data in the </w:t>
      </w:r>
      <w:hyperlink r:id="rId9" w:history="1">
        <w:r w:rsidR="00330F7C">
          <w:rPr>
            <w:rStyle w:val="Hyperlink"/>
            <w:rFonts w:cstheme="minorHAnsi"/>
          </w:rPr>
          <w:t>Californ</w:t>
        </w:r>
        <w:r w:rsidRPr="002B3296">
          <w:rPr>
            <w:rStyle w:val="Hyperlink"/>
            <w:rFonts w:cstheme="minorHAnsi"/>
          </w:rPr>
          <w:t>ia Arts Education Data Project</w:t>
        </w:r>
      </w:hyperlink>
      <w:r w:rsidRPr="002B3296">
        <w:rPr>
          <w:rFonts w:cstheme="minorHAnsi"/>
        </w:rPr>
        <w:t xml:space="preserve"> and reporting the findings at a board meeting.</w:t>
      </w:r>
    </w:p>
    <w:p w:rsidR="000B29AE" w:rsidRPr="006D575B" w:rsidRDefault="000B29AE" w:rsidP="000B29A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D575B">
        <w:rPr>
          <w:rFonts w:cstheme="minorHAnsi"/>
        </w:rPr>
        <w:t xml:space="preserve">Using the </w:t>
      </w:r>
      <w:r>
        <w:rPr>
          <w:rFonts w:cstheme="minorHAnsi"/>
        </w:rPr>
        <w:t>d</w:t>
      </w:r>
      <w:r w:rsidRPr="006D575B">
        <w:rPr>
          <w:rFonts w:cstheme="minorHAnsi"/>
        </w:rPr>
        <w:t xml:space="preserve">ata </w:t>
      </w:r>
      <w:r>
        <w:rPr>
          <w:rFonts w:cstheme="minorHAnsi"/>
        </w:rPr>
        <w:t>p</w:t>
      </w:r>
      <w:r w:rsidRPr="006D575B">
        <w:rPr>
          <w:rFonts w:cstheme="minorHAnsi"/>
        </w:rPr>
        <w:t xml:space="preserve">roject </w:t>
      </w:r>
      <w:r>
        <w:rPr>
          <w:rFonts w:cstheme="minorHAnsi"/>
        </w:rPr>
        <w:t>findings</w:t>
      </w:r>
      <w:r w:rsidRPr="006D575B">
        <w:rPr>
          <w:rFonts w:cstheme="minorHAnsi"/>
        </w:rPr>
        <w:t xml:space="preserve"> to support the establishment of a</w:t>
      </w:r>
      <w:r>
        <w:rPr>
          <w:rFonts w:cstheme="minorHAnsi"/>
        </w:rPr>
        <w:t xml:space="preserve"> strategic</w:t>
      </w:r>
      <w:r w:rsidRPr="006D575B">
        <w:rPr>
          <w:rFonts w:cstheme="minorHAnsi"/>
        </w:rPr>
        <w:t xml:space="preserve"> arts plan to achieve the</w:t>
      </w:r>
      <w:r w:rsidR="00F032FD">
        <w:rPr>
          <w:rFonts w:cstheme="minorHAnsi"/>
        </w:rPr>
        <w:t xml:space="preserve"> Declaration’s</w:t>
      </w:r>
      <w:r w:rsidRPr="006D575B">
        <w:rPr>
          <w:rFonts w:cstheme="minorHAnsi"/>
        </w:rPr>
        <w:t xml:space="preserve"> goals. </w:t>
      </w:r>
    </w:p>
    <w:p w:rsidR="000B29AE" w:rsidRDefault="000B29AE" w:rsidP="000B29A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6D575B">
        <w:rPr>
          <w:rFonts w:cstheme="minorHAnsi"/>
        </w:rPr>
        <w:t>Dedicating appropriate resources to support genuine art</w:t>
      </w:r>
      <w:r>
        <w:rPr>
          <w:rFonts w:cstheme="minorHAnsi"/>
        </w:rPr>
        <w:t>s</w:t>
      </w:r>
      <w:r w:rsidRPr="006D575B">
        <w:rPr>
          <w:rFonts w:cstheme="minorHAnsi"/>
        </w:rPr>
        <w:t xml:space="preserve"> engagement, production and appreciation – such as using academic materials that align with state standards, creating or adding staff positions and providing suitable facilities that allow students to participate in visual</w:t>
      </w:r>
      <w:r>
        <w:rPr>
          <w:rFonts w:cstheme="minorHAnsi"/>
        </w:rPr>
        <w:t xml:space="preserve"> and </w:t>
      </w:r>
      <w:r w:rsidRPr="006D575B">
        <w:rPr>
          <w:rFonts w:cstheme="minorHAnsi"/>
        </w:rPr>
        <w:t xml:space="preserve">performing arts, music and associated arts education.  </w:t>
      </w:r>
    </w:p>
    <w:p w:rsidR="000B29AE" w:rsidRPr="006D575B" w:rsidRDefault="000B29AE" w:rsidP="000B29A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</w:rPr>
      </w:pPr>
      <w:r w:rsidRPr="000F0947">
        <w:t>Promot</w:t>
      </w:r>
      <w:r>
        <w:t>ing</w:t>
      </w:r>
      <w:r w:rsidRPr="000F0947">
        <w:t xml:space="preserve"> arts learning that honors all cultures and languages by developing staff capacities, identifying community resources and creating opportunities for students to contribute to the design of their learning.</w:t>
      </w:r>
    </w:p>
    <w:p w:rsidR="000B29AE" w:rsidRPr="006D575B" w:rsidRDefault="000B29AE" w:rsidP="000B29AE">
      <w:pPr>
        <w:spacing w:after="0" w:line="240" w:lineRule="auto"/>
        <w:rPr>
          <w:rFonts w:cstheme="minorHAnsi"/>
        </w:rPr>
      </w:pPr>
    </w:p>
    <w:p w:rsidR="000B29AE" w:rsidRDefault="000B29AE" w:rsidP="00C86AFA">
      <w:pPr>
        <w:spacing w:after="0" w:line="240" w:lineRule="auto"/>
        <w:rPr>
          <w:rFonts w:cstheme="minorHAnsi"/>
        </w:rPr>
      </w:pPr>
      <w:r w:rsidRPr="006D575B">
        <w:rPr>
          <w:rFonts w:cstheme="minorHAnsi"/>
          <w:b/>
          <w:bCs/>
        </w:rPr>
        <w:t xml:space="preserve">By </w:t>
      </w:r>
      <w:r>
        <w:rPr>
          <w:rFonts w:cstheme="minorHAnsi"/>
          <w:b/>
          <w:bCs/>
        </w:rPr>
        <w:t>adopting</w:t>
      </w:r>
      <w:r w:rsidRPr="006D575B">
        <w:rPr>
          <w:rFonts w:cstheme="minorHAnsi"/>
          <w:b/>
          <w:bCs/>
        </w:rPr>
        <w:t xml:space="preserve"> the Declaration, your district will </w:t>
      </w:r>
      <w:r>
        <w:rPr>
          <w:rFonts w:cstheme="minorHAnsi"/>
          <w:b/>
          <w:bCs/>
        </w:rPr>
        <w:t>demonstrate its commitment to</w:t>
      </w:r>
      <w:r w:rsidRPr="006D575B">
        <w:rPr>
          <w:rFonts w:cstheme="minorHAnsi"/>
          <w:b/>
          <w:bCs/>
        </w:rPr>
        <w:t xml:space="preserve"> ensure </w:t>
      </w:r>
      <w:r>
        <w:rPr>
          <w:rFonts w:cstheme="minorHAnsi"/>
          <w:b/>
          <w:bCs/>
        </w:rPr>
        <w:t xml:space="preserve">all </w:t>
      </w:r>
      <w:r w:rsidRPr="006D575B">
        <w:rPr>
          <w:rFonts w:cstheme="minorHAnsi"/>
          <w:b/>
          <w:bCs/>
        </w:rPr>
        <w:t xml:space="preserve">students have the right to develop their </w:t>
      </w:r>
      <w:r>
        <w:rPr>
          <w:rFonts w:cstheme="minorHAnsi"/>
          <w:b/>
          <w:bCs/>
        </w:rPr>
        <w:t xml:space="preserve">creative </w:t>
      </w:r>
      <w:r w:rsidRPr="006D575B">
        <w:rPr>
          <w:rFonts w:cstheme="minorHAnsi"/>
          <w:b/>
          <w:bCs/>
        </w:rPr>
        <w:t>and academic potential</w:t>
      </w:r>
      <w:r w:rsidRPr="006D575B">
        <w:rPr>
          <w:rFonts w:cstheme="minorHAnsi"/>
        </w:rPr>
        <w:t xml:space="preserve"> and that </w:t>
      </w:r>
      <w:r>
        <w:rPr>
          <w:rFonts w:cstheme="minorHAnsi"/>
        </w:rPr>
        <w:t xml:space="preserve">your </w:t>
      </w:r>
      <w:r w:rsidRPr="006D575B">
        <w:rPr>
          <w:rFonts w:cstheme="minorHAnsi"/>
        </w:rPr>
        <w:t>schools nurture the skills to prepare students for the 21</w:t>
      </w:r>
      <w:r>
        <w:rPr>
          <w:rFonts w:cstheme="minorHAnsi"/>
        </w:rPr>
        <w:t>st</w:t>
      </w:r>
      <w:r w:rsidRPr="006D575B">
        <w:rPr>
          <w:rFonts w:cstheme="minorHAnsi"/>
        </w:rPr>
        <w:t xml:space="preserve"> century workforce. </w:t>
      </w:r>
    </w:p>
    <w:p w:rsidR="001D3174" w:rsidRPr="008207D5" w:rsidRDefault="002109A1" w:rsidP="000B29AE">
      <w:pPr>
        <w:spacing w:after="0" w:line="240" w:lineRule="auto"/>
        <w:rPr>
          <w:rFonts w:ascii="Calibri" w:eastAsia="Times New Roman" w:hAnsi="Calibri" w:cs="Arial"/>
        </w:rPr>
      </w:pPr>
      <w:proofErr w:type="gramStart"/>
      <w:r>
        <w:rPr>
          <w:rFonts w:ascii="Calibri" w:eastAsia="Times New Roman" w:hAnsi="Calibri" w:cs="Arial"/>
        </w:rPr>
        <w:t>t</w:t>
      </w:r>
      <w:r w:rsidR="000B29AE" w:rsidRPr="00857FE0">
        <w:rPr>
          <w:rFonts w:ascii="Calibri" w:eastAsia="Times New Roman" w:hAnsi="Calibri" w:cs="Arial"/>
        </w:rPr>
        <w:t>o</w:t>
      </w:r>
      <w:proofErr w:type="gramEnd"/>
      <w:r w:rsidR="000B29AE" w:rsidRPr="00857FE0">
        <w:rPr>
          <w:rFonts w:ascii="Calibri" w:eastAsia="Times New Roman" w:hAnsi="Calibri" w:cs="Arial"/>
        </w:rPr>
        <w:t xml:space="preserve"> learn more</w:t>
      </w:r>
      <w:r w:rsidR="000B29AE">
        <w:rPr>
          <w:rFonts w:ascii="Calibri" w:eastAsia="Times New Roman" w:hAnsi="Calibri" w:cs="Arial"/>
        </w:rPr>
        <w:t xml:space="preserve">, </w:t>
      </w:r>
      <w:r w:rsidR="000B29AE" w:rsidRPr="00857FE0">
        <w:rPr>
          <w:rFonts w:ascii="Calibri" w:eastAsia="Times New Roman" w:hAnsi="Calibri" w:cs="Arial"/>
        </w:rPr>
        <w:t xml:space="preserve">visit </w:t>
      </w:r>
      <w:hyperlink r:id="rId10" w:history="1">
        <w:r w:rsidR="000B29AE" w:rsidRPr="00F83EA8">
          <w:rPr>
            <w:rStyle w:val="Hyperlink"/>
            <w:rFonts w:ascii="Calibri" w:eastAsia="Times New Roman" w:hAnsi="Calibri" w:cs="Arial"/>
          </w:rPr>
          <w:t>createca.net</w:t>
        </w:r>
      </w:hyperlink>
      <w:r w:rsidR="000B29AE">
        <w:rPr>
          <w:rFonts w:ascii="Calibri" w:eastAsia="Times New Roman" w:hAnsi="Calibri" w:cs="Arial"/>
        </w:rPr>
        <w:t xml:space="preserve"> and</w:t>
      </w:r>
      <w:r w:rsidR="000B29AE" w:rsidRPr="00857FE0">
        <w:rPr>
          <w:rFonts w:ascii="Calibri" w:eastAsia="Times New Roman" w:hAnsi="Calibri" w:cs="Arial"/>
        </w:rPr>
        <w:t xml:space="preserve"> click the link for the Declaration of Student Rights</w:t>
      </w:r>
      <w:r w:rsidR="000B29AE">
        <w:rPr>
          <w:rFonts w:ascii="Calibri" w:eastAsia="Times New Roman" w:hAnsi="Calibri" w:cs="Arial"/>
        </w:rPr>
        <w:t>.</w:t>
      </w:r>
      <w:r w:rsidR="000B29AE" w:rsidRPr="00857FE0">
        <w:rPr>
          <w:rFonts w:ascii="Calibri" w:eastAsia="Times New Roman" w:hAnsi="Calibri" w:cs="Arial"/>
        </w:rPr>
        <w:t xml:space="preserve"> </w:t>
      </w:r>
      <w:proofErr w:type="gramStart"/>
      <w:r w:rsidR="001D3174">
        <w:rPr>
          <w:rFonts w:ascii="Calibri" w:eastAsia="Times New Roman" w:hAnsi="Calibri" w:cs="Arial"/>
        </w:rPr>
        <w:t>And  schedule</w:t>
      </w:r>
      <w:proofErr w:type="gramEnd"/>
      <w:r>
        <w:rPr>
          <w:rFonts w:ascii="Calibri" w:eastAsia="Times New Roman" w:hAnsi="Calibri" w:cs="Arial"/>
        </w:rPr>
        <w:t xml:space="preserve"> </w:t>
      </w:r>
      <w:proofErr w:type="spellStart"/>
      <w:r>
        <w:rPr>
          <w:rFonts w:ascii="Calibri" w:eastAsia="Times New Roman" w:hAnsi="Calibri" w:cs="Arial"/>
        </w:rPr>
        <w:t>a</w:t>
      </w:r>
      <w:proofErr w:type="spellEnd"/>
      <w:r>
        <w:rPr>
          <w:rFonts w:ascii="Calibri" w:eastAsia="Times New Roman" w:hAnsi="Calibri" w:cs="Arial"/>
        </w:rPr>
        <w:t xml:space="preserve"> appointment for</w:t>
      </w:r>
      <w:bookmarkStart w:id="0" w:name="_GoBack"/>
      <w:bookmarkEnd w:id="0"/>
      <w:r w:rsidR="001D3174">
        <w:rPr>
          <w:rFonts w:ascii="Calibri" w:eastAsia="Times New Roman" w:hAnsi="Calibri" w:cs="Arial"/>
        </w:rPr>
        <w:t xml:space="preserve"> mobile training print workshop @ </w:t>
      </w:r>
      <w:hyperlink r:id="rId11" w:history="1">
        <w:r w:rsidR="001D3174" w:rsidRPr="00810E37">
          <w:rPr>
            <w:rStyle w:val="Hyperlink"/>
            <w:rFonts w:ascii="Calibri" w:eastAsia="Times New Roman" w:hAnsi="Calibri" w:cs="Arial"/>
          </w:rPr>
          <w:t>www.Triggraphix.com</w:t>
        </w:r>
      </w:hyperlink>
      <w:r w:rsidR="001D3174">
        <w:rPr>
          <w:rFonts w:ascii="Calibri" w:eastAsia="Times New Roman" w:hAnsi="Calibri" w:cs="Arial"/>
        </w:rPr>
        <w:t xml:space="preserve"> for  hands on shirts , hats, stickers, banners, magnets. </w:t>
      </w:r>
      <w:proofErr w:type="spellStart"/>
      <w:r w:rsidR="001D3174">
        <w:rPr>
          <w:rFonts w:ascii="Calibri" w:eastAsia="Times New Roman" w:hAnsi="Calibri" w:cs="Arial"/>
        </w:rPr>
        <w:t>Etc</w:t>
      </w:r>
      <w:proofErr w:type="spellEnd"/>
      <w:r w:rsidR="001D3174">
        <w:rPr>
          <w:rFonts w:ascii="Calibri" w:eastAsia="Times New Roman" w:hAnsi="Calibri" w:cs="Arial"/>
        </w:rPr>
        <w:t xml:space="preserve">… after school and Sunday </w:t>
      </w:r>
      <w:r>
        <w:rPr>
          <w:rFonts w:ascii="Calibri" w:eastAsia="Times New Roman" w:hAnsi="Calibri" w:cs="Arial"/>
        </w:rPr>
        <w:t xml:space="preserve">School </w:t>
      </w:r>
      <w:proofErr w:type="gramStart"/>
      <w:r w:rsidR="001D3174">
        <w:rPr>
          <w:rFonts w:ascii="Calibri" w:eastAsia="Times New Roman" w:hAnsi="Calibri" w:cs="Arial"/>
        </w:rPr>
        <w:t>program</w:t>
      </w:r>
      <w:r>
        <w:rPr>
          <w:rFonts w:ascii="Calibri" w:eastAsia="Times New Roman" w:hAnsi="Calibri" w:cs="Arial"/>
        </w:rPr>
        <w:t xml:space="preserve"> .</w:t>
      </w:r>
      <w:proofErr w:type="gramEnd"/>
    </w:p>
    <w:sectPr w:rsidR="001D3174" w:rsidRPr="008207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B3" w:rsidRDefault="002846B3" w:rsidP="007E3A2E">
      <w:pPr>
        <w:spacing w:after="0" w:line="240" w:lineRule="auto"/>
      </w:pPr>
      <w:r>
        <w:separator/>
      </w:r>
    </w:p>
  </w:endnote>
  <w:endnote w:type="continuationSeparator" w:id="0">
    <w:p w:rsidR="002846B3" w:rsidRDefault="002846B3" w:rsidP="007E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B3" w:rsidRDefault="002846B3" w:rsidP="007E3A2E">
      <w:pPr>
        <w:spacing w:after="0" w:line="240" w:lineRule="auto"/>
      </w:pPr>
      <w:r>
        <w:separator/>
      </w:r>
    </w:p>
  </w:footnote>
  <w:footnote w:type="continuationSeparator" w:id="0">
    <w:p w:rsidR="002846B3" w:rsidRDefault="002846B3" w:rsidP="007E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 w:rsidP="009E323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897B3" wp14:editId="31F076EF">
          <wp:simplePos x="0" y="0"/>
          <wp:positionH relativeFrom="margin">
            <wp:posOffset>-257175</wp:posOffset>
          </wp:positionH>
          <wp:positionV relativeFrom="paragraph">
            <wp:posOffset>161925</wp:posOffset>
          </wp:positionV>
          <wp:extent cx="2266950" cy="912495"/>
          <wp:effectExtent l="0" t="0" r="0" b="1905"/>
          <wp:wrapSquare wrapText="bothSides"/>
          <wp:docPr id="2" name="Picture 2" descr="ca logo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 logo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21529" r="14931" b="21875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0F7E8C" wp14:editId="7A76A4E3">
          <wp:extent cx="2362200" cy="1143000"/>
          <wp:effectExtent l="0" t="0" r="0" b="0"/>
          <wp:docPr id="1" name="Picture 1" descr="arts equity.logo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ts equity.logo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4" t="17990" r="10577" b="25133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3234" w:rsidRDefault="009E32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34" w:rsidRDefault="009E32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923"/>
    <w:multiLevelType w:val="hybridMultilevel"/>
    <w:tmpl w:val="E13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D175C"/>
    <w:multiLevelType w:val="hybridMultilevel"/>
    <w:tmpl w:val="4B9E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3432B"/>
    <w:multiLevelType w:val="hybridMultilevel"/>
    <w:tmpl w:val="87EE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2E"/>
    <w:rsid w:val="000B29AE"/>
    <w:rsid w:val="001D3174"/>
    <w:rsid w:val="002109A1"/>
    <w:rsid w:val="00273D7F"/>
    <w:rsid w:val="002846B3"/>
    <w:rsid w:val="00306D17"/>
    <w:rsid w:val="00330F7C"/>
    <w:rsid w:val="00351D0E"/>
    <w:rsid w:val="00495A17"/>
    <w:rsid w:val="004D2FB5"/>
    <w:rsid w:val="00563ED8"/>
    <w:rsid w:val="00632192"/>
    <w:rsid w:val="007E3A2E"/>
    <w:rsid w:val="008207D5"/>
    <w:rsid w:val="00877354"/>
    <w:rsid w:val="00977A8F"/>
    <w:rsid w:val="009E3234"/>
    <w:rsid w:val="00BA4279"/>
    <w:rsid w:val="00C86AFA"/>
    <w:rsid w:val="00D4480B"/>
    <w:rsid w:val="00DD16A6"/>
    <w:rsid w:val="00DF6DB7"/>
    <w:rsid w:val="00F032FD"/>
    <w:rsid w:val="00F06205"/>
    <w:rsid w:val="00F40DF0"/>
    <w:rsid w:val="00F60877"/>
    <w:rsid w:val="00F7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A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A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34"/>
  </w:style>
  <w:style w:type="paragraph" w:styleId="Footer">
    <w:name w:val="footer"/>
    <w:basedOn w:val="Normal"/>
    <w:link w:val="FooterChar"/>
    <w:uiPriority w:val="99"/>
    <w:unhideWhenUsed/>
    <w:rsid w:val="009E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34"/>
  </w:style>
  <w:style w:type="character" w:styleId="FollowedHyperlink">
    <w:name w:val="FollowedHyperlink"/>
    <w:basedOn w:val="DefaultParagraphFont"/>
    <w:uiPriority w:val="99"/>
    <w:semiHidden/>
    <w:unhideWhenUsed/>
    <w:rsid w:val="00330F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A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3A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A2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34"/>
  </w:style>
  <w:style w:type="paragraph" w:styleId="Footer">
    <w:name w:val="footer"/>
    <w:basedOn w:val="Normal"/>
    <w:link w:val="FooterChar"/>
    <w:uiPriority w:val="99"/>
    <w:unhideWhenUsed/>
    <w:rsid w:val="009E3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34"/>
  </w:style>
  <w:style w:type="character" w:styleId="FollowedHyperlink">
    <w:name w:val="FollowedHyperlink"/>
    <w:basedOn w:val="DefaultParagraphFont"/>
    <w:uiPriority w:val="99"/>
    <w:semiHidden/>
    <w:unhideWhenUsed/>
    <w:rsid w:val="00330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iggraphix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reateca.net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reateca.dreamhosters.com/artsed-dataprojec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4131-6B0D-4923-B6CA-50A1A1A5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Carroll</dc:creator>
  <cp:lastModifiedBy>Luz Bernal</cp:lastModifiedBy>
  <cp:revision>2</cp:revision>
  <dcterms:created xsi:type="dcterms:W3CDTF">2019-06-30T18:43:00Z</dcterms:created>
  <dcterms:modified xsi:type="dcterms:W3CDTF">2019-06-30T18:43:00Z</dcterms:modified>
</cp:coreProperties>
</file>