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5555" w14:textId="3EFD4523" w:rsidR="002F0D9D" w:rsidRDefault="002F0D9D"/>
    <w:p w14:paraId="1F0C2959" w14:textId="15521434" w:rsidR="002F0D9D" w:rsidRDefault="002F0D9D">
      <w:r>
        <w:rPr>
          <w:noProof/>
        </w:rPr>
        <mc:AlternateContent>
          <mc:Choice Requires="wps">
            <w:drawing>
              <wp:anchor distT="0" distB="0" distL="114300" distR="114300" simplePos="0" relativeHeight="251659267" behindDoc="0" locked="0" layoutInCell="1" allowOverlap="1" wp14:anchorId="32AE23E0" wp14:editId="7B1E89D9">
                <wp:simplePos x="0" y="0"/>
                <wp:positionH relativeFrom="column">
                  <wp:posOffset>-765175</wp:posOffset>
                </wp:positionH>
                <wp:positionV relativeFrom="paragraph">
                  <wp:posOffset>560351</wp:posOffset>
                </wp:positionV>
                <wp:extent cx="7261860" cy="2402840"/>
                <wp:effectExtent l="0" t="0" r="0" b="0"/>
                <wp:wrapNone/>
                <wp:docPr id="1900863246" name="Text Box 5"/>
                <wp:cNvGraphicFramePr/>
                <a:graphic xmlns:a="http://schemas.openxmlformats.org/drawingml/2006/main">
                  <a:graphicData uri="http://schemas.microsoft.com/office/word/2010/wordprocessingShape">
                    <wps:wsp>
                      <wps:cNvSpPr txBox="1"/>
                      <wps:spPr>
                        <a:xfrm>
                          <a:off x="0" y="0"/>
                          <a:ext cx="7261860" cy="2402840"/>
                        </a:xfrm>
                        <a:prstGeom prst="rect">
                          <a:avLst/>
                        </a:prstGeom>
                        <a:solidFill>
                          <a:schemeClr val="lt1"/>
                        </a:solidFill>
                        <a:ln w="6350">
                          <a:noFill/>
                        </a:ln>
                      </wps:spPr>
                      <wps:txbx>
                        <w:txbxContent>
                          <w:p w14:paraId="60A7274D" w14:textId="77777777" w:rsidR="002F0D9D" w:rsidRPr="002F0D9D" w:rsidRDefault="002F0D9D" w:rsidP="002F0D9D">
                            <w:pPr>
                              <w:jc w:val="both"/>
                            </w:pPr>
                            <w:r w:rsidRPr="002F0D9D">
                              <w:t>Welcome to the Middleton Private Capital Newsletter for Q4 and full year 2025, our economic and market overview for the period.</w:t>
                            </w:r>
                          </w:p>
                          <w:p w14:paraId="079BA43F" w14:textId="77777777" w:rsidR="002F0D9D" w:rsidRPr="002F0D9D" w:rsidRDefault="002F0D9D" w:rsidP="002F0D9D">
                            <w:pPr>
                              <w:jc w:val="both"/>
                            </w:pPr>
                            <w:r w:rsidRPr="002F0D9D">
                              <w:t>Overleaf, you will find a market and economic commentary for the year, as well as a look at which sectors and stocks performed best, which stocks contributed the most to the portfolio’s performance, and a look ahead to what may influence markets in the year ahead.</w:t>
                            </w:r>
                          </w:p>
                          <w:p w14:paraId="78F8AE3E" w14:textId="0624E808" w:rsidR="002F0D9D" w:rsidRPr="002F0D9D" w:rsidRDefault="002F0D9D" w:rsidP="002F0D9D">
                            <w:pPr>
                              <w:jc w:val="both"/>
                            </w:pPr>
                          </w:p>
                          <w:p w14:paraId="13057159" w14:textId="675F5A9F" w:rsidR="002F0D9D" w:rsidRDefault="002F0D9D" w:rsidP="002F0D9D">
                            <w:pPr>
                              <w:jc w:val="both"/>
                            </w:pPr>
                            <w:r>
                              <w:t>Disclaimer…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E23E0" id="_x0000_t202" coordsize="21600,21600" o:spt="202" path="m,l,21600r21600,l21600,xe">
                <v:stroke joinstyle="miter"/>
                <v:path gradientshapeok="t" o:connecttype="rect"/>
              </v:shapetype>
              <v:shape id="Text Box 5" o:spid="_x0000_s1026" type="#_x0000_t202" style="position:absolute;margin-left:-60.25pt;margin-top:44.1pt;width:571.8pt;height:189.2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" fillcolor="white [3201]" stroked="f" strokeweight=".5pt">
                <v:textbox>
                  <w:txbxContent>
                    <w:p w14:paraId="60A7274D" w14:textId="77777777" w:rsidR="002F0D9D" w:rsidRPr="002F0D9D" w:rsidRDefault="002F0D9D" w:rsidP="002F0D9D">
                      <w:pPr>
                        <w:jc w:val="both"/>
                      </w:pPr>
                      <w:r w:rsidRPr="002F0D9D">
                        <w:t>Welcome to the Middleton Private Capital Newsletter for Q4 and full year 2025, our economic and market overview for the period.</w:t>
                      </w:r>
                    </w:p>
                    <w:p w14:paraId="079BA43F" w14:textId="77777777" w:rsidR="002F0D9D" w:rsidRPr="002F0D9D" w:rsidRDefault="002F0D9D" w:rsidP="002F0D9D">
                      <w:pPr>
                        <w:jc w:val="both"/>
                      </w:pPr>
                      <w:r w:rsidRPr="002F0D9D">
                        <w:t>Overleaf, you will find a market and economic commentary for the year, as well as a look at which sectors and stocks performed best, which stocks contributed the most to the portfolio’s performance, and a look ahead to what may influence markets in the year ahead.</w:t>
                      </w:r>
                    </w:p>
                    <w:p w14:paraId="78F8AE3E" w14:textId="0624E808" w:rsidR="002F0D9D" w:rsidRPr="002F0D9D" w:rsidRDefault="002F0D9D" w:rsidP="002F0D9D">
                      <w:pPr>
                        <w:jc w:val="both"/>
                      </w:pPr>
                    </w:p>
                    <w:p w14:paraId="13057159" w14:textId="675F5A9F" w:rsidR="002F0D9D" w:rsidRDefault="002F0D9D" w:rsidP="002F0D9D">
                      <w:pPr>
                        <w:jc w:val="both"/>
                      </w:pPr>
                      <w:r>
                        <w:t>Disclaimer…</w:t>
                      </w:r>
                    </w:p>
                  </w:txbxContent>
                </v:textbox>
              </v:shape>
            </w:pict>
          </mc:Fallback>
        </mc:AlternateContent>
      </w:r>
      <w:r>
        <w:br w:type="page"/>
      </w:r>
    </w:p>
    <w:p w14:paraId="59F5D332" w14:textId="2D52EAD8" w:rsidR="007F5FCD" w:rsidRDefault="00D649CD">
      <w:r>
        <w:rPr>
          <w:noProof/>
        </w:rPr>
        <w:lastRenderedPageBreak/>
        <mc:AlternateContent>
          <mc:Choice Requires="wps">
            <w:drawing>
              <wp:anchor distT="0" distB="0" distL="114300" distR="114300" simplePos="0" relativeHeight="251666944" behindDoc="0" locked="0" layoutInCell="1" allowOverlap="1" wp14:anchorId="58367EEA" wp14:editId="0165B8F7">
                <wp:simplePos x="0" y="0"/>
                <wp:positionH relativeFrom="column">
                  <wp:posOffset>4263656</wp:posOffset>
                </wp:positionH>
                <wp:positionV relativeFrom="paragraph">
                  <wp:posOffset>-212651</wp:posOffset>
                </wp:positionV>
                <wp:extent cx="2219340" cy="7676707"/>
                <wp:effectExtent l="0" t="0" r="9525" b="635"/>
                <wp:wrapNone/>
                <wp:docPr id="212933569" name="Text Box 2"/>
                <wp:cNvGraphicFramePr/>
                <a:graphic xmlns:a="http://schemas.openxmlformats.org/drawingml/2006/main">
                  <a:graphicData uri="http://schemas.microsoft.com/office/word/2010/wordprocessingShape">
                    <wps:wsp>
                      <wps:cNvSpPr txBox="1"/>
                      <wps:spPr>
                        <a:xfrm>
                          <a:off x="0" y="0"/>
                          <a:ext cx="2219340" cy="7676707"/>
                        </a:xfrm>
                        <a:prstGeom prst="rect">
                          <a:avLst/>
                        </a:prstGeom>
                        <a:solidFill>
                          <a:schemeClr val="lt1"/>
                        </a:solidFill>
                        <a:ln w="6350">
                          <a:noFill/>
                        </a:ln>
                      </wps:spPr>
                      <wps:txbx>
                        <w:txbxContent>
                          <w:p w14:paraId="2A0B0DFE" w14:textId="77777777" w:rsidR="004D34C0" w:rsidRPr="004D34C0" w:rsidRDefault="004D34C0" w:rsidP="00382B3C">
                            <w:pPr>
                              <w:jc w:val="both"/>
                              <w:rPr>
                                <w:b/>
                                <w:bCs/>
                              </w:rPr>
                            </w:pPr>
                            <w:r w:rsidRPr="004D34C0">
                              <w:rPr>
                                <w:b/>
                                <w:bCs/>
                              </w:rPr>
                              <w:t>Market Drivers</w:t>
                            </w:r>
                          </w:p>
                          <w:p w14:paraId="05248299" w14:textId="77777777" w:rsidR="004D34C0" w:rsidRPr="004D34C0" w:rsidRDefault="004D34C0" w:rsidP="00382B3C">
                            <w:pPr>
                              <w:jc w:val="both"/>
                            </w:pPr>
                            <w:r w:rsidRPr="004D34C0">
                              <w:t>US markets were driven predominantly by mega caps in 2025, as investors betting that huge outlays on AI capex would lead to significant future revenues. Google parent, Alphabet, was the strongest performer of the “Mag 7” stocks, gaining over 65% during the year. Elsewhere, gold miner Newmont advanced over 150% as the gold price continued to climb, whilst investment bank Goldman Sachs was a beneficiary of the Trump administration’s deregulatory stance, which encouraged increased deal making in the M&amp;A space. Weight loss drug maker Eli Lilly also posted strong gains as adoption grew.</w:t>
                            </w:r>
                          </w:p>
                          <w:p w14:paraId="64B2D955" w14:textId="77777777" w:rsidR="004D34C0" w:rsidRPr="004D34C0" w:rsidRDefault="004D34C0" w:rsidP="00382B3C">
                            <w:pPr>
                              <w:jc w:val="both"/>
                            </w:pPr>
                            <w:r w:rsidRPr="004D34C0">
                              <w:t>In the UK, gold miners were also amongst the top gainers, with Fresnillo surging over 400%. Industrials and banks were the other big winners, with the latter outperforming despite lower rates as dividends and buybacks increased, and they largely began the year at modest valuations. Rolls Royce and BAE continued their runs amid rising defence budgets.</w:t>
                            </w:r>
                          </w:p>
                          <w:p w14:paraId="3C488319" w14:textId="77777777" w:rsidR="004D34C0" w:rsidRPr="004D34C0" w:rsidRDefault="004D34C0" w:rsidP="00382B3C">
                            <w:pPr>
                              <w:jc w:val="both"/>
                              <w:rPr>
                                <w:b/>
                                <w:bCs/>
                              </w:rPr>
                            </w:pPr>
                            <w:r w:rsidRPr="004D34C0">
                              <w:rPr>
                                <w:b/>
                                <w:bCs/>
                              </w:rPr>
                              <w:t>Portfolio Contributors</w:t>
                            </w:r>
                          </w:p>
                          <w:p w14:paraId="44DA1B2A" w14:textId="77777777" w:rsidR="004D34C0" w:rsidRPr="004D34C0" w:rsidRDefault="004D34C0" w:rsidP="00382B3C">
                            <w:pPr>
                              <w:jc w:val="both"/>
                            </w:pPr>
                            <w:r w:rsidRPr="004D34C0">
                              <w:t xml:space="preserve">Amongst the portfolio’s strongest performers in 2025 were Rolls Royce, Broadcom and Tesla. Rolls Royce was supported by a continued recovery in civil aerospace and increased defence spending. Tesla benefitted from the advancement of the autonomous vehicle narrative, whilst Broadcom enjoyed revenue and earnings growth resulting from the AI infrastructure spending boom. </w:t>
                            </w:r>
                          </w:p>
                          <w:p w14:paraId="7E51063A" w14:textId="77777777" w:rsidR="004D34C0" w:rsidRPr="004D34C0" w:rsidRDefault="004D34C0" w:rsidP="00382B3C">
                            <w:pPr>
                              <w:jc w:val="both"/>
                            </w:pPr>
                            <w:r w:rsidRPr="004D34C0">
                              <w:t> </w:t>
                            </w:r>
                          </w:p>
                          <w:p w14:paraId="66504E83" w14:textId="77777777" w:rsidR="004D34C0" w:rsidRDefault="004D34C0" w:rsidP="00382B3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67EEA" id="Text Box 2" o:spid="_x0000_s1027" type="#_x0000_t202" style="position:absolute;margin-left:335.7pt;margin-top:-16.75pt;width:174.75pt;height:604.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" fillcolor="white [3201]" stroked="f" strokeweight=".5pt">
                <v:textbox>
                  <w:txbxContent>
                    <w:p w14:paraId="2A0B0DFE" w14:textId="77777777" w:rsidR="004D34C0" w:rsidRPr="004D34C0" w:rsidRDefault="004D34C0" w:rsidP="00382B3C">
                      <w:pPr>
                        <w:jc w:val="both"/>
                        <w:rPr>
                          <w:b/>
                          <w:bCs/>
                        </w:rPr>
                      </w:pPr>
                      <w:r w:rsidRPr="004D34C0">
                        <w:rPr>
                          <w:b/>
                          <w:bCs/>
                        </w:rPr>
                        <w:t>Market Drivers</w:t>
                      </w:r>
                    </w:p>
                    <w:p w14:paraId="05248299" w14:textId="77777777" w:rsidR="004D34C0" w:rsidRPr="004D34C0" w:rsidRDefault="004D34C0" w:rsidP="00382B3C">
                      <w:pPr>
                        <w:jc w:val="both"/>
                      </w:pPr>
                      <w:r w:rsidRPr="004D34C0">
                        <w:t>US markets were driven predominantly by mega caps in 2025, as investors betting that huge outlays on AI capex would lead to significant future revenues. Google parent, Alphabet, was the strongest performer of the “Mag 7” stocks, gaining over 65% during the year. Elsewhere, gold miner Newmont advanced over 150% as the gold price continued to climb, whilst investment bank Goldman Sachs was a beneficiary of the Trump administration’s deregulatory stance, which encouraged increased deal making in the M&amp;A space. Weight loss drug maker Eli Lilly also posted strong gains as adoption grew.</w:t>
                      </w:r>
                    </w:p>
                    <w:p w14:paraId="64B2D955" w14:textId="77777777" w:rsidR="004D34C0" w:rsidRPr="004D34C0" w:rsidRDefault="004D34C0" w:rsidP="00382B3C">
                      <w:pPr>
                        <w:jc w:val="both"/>
                      </w:pPr>
                      <w:r w:rsidRPr="004D34C0">
                        <w:t>In the UK, gold miners were also amongst the top gainers, with Fresnillo surging over 400%. Industrials and banks were the other big winners, with the latter outperforming despite lower rates as dividends and buybacks increased, and they largely began the year at modest valuations. Rolls Royce and BAE continued their runs amid rising defence budgets.</w:t>
                      </w:r>
                    </w:p>
                    <w:p w14:paraId="3C488319" w14:textId="77777777" w:rsidR="004D34C0" w:rsidRPr="004D34C0" w:rsidRDefault="004D34C0" w:rsidP="00382B3C">
                      <w:pPr>
                        <w:jc w:val="both"/>
                        <w:rPr>
                          <w:b/>
                          <w:bCs/>
                        </w:rPr>
                      </w:pPr>
                      <w:r w:rsidRPr="004D34C0">
                        <w:rPr>
                          <w:b/>
                          <w:bCs/>
                        </w:rPr>
                        <w:t>Portfolio Contributors</w:t>
                      </w:r>
                    </w:p>
                    <w:p w14:paraId="44DA1B2A" w14:textId="77777777" w:rsidR="004D34C0" w:rsidRPr="004D34C0" w:rsidRDefault="004D34C0" w:rsidP="00382B3C">
                      <w:pPr>
                        <w:jc w:val="both"/>
                      </w:pPr>
                      <w:r w:rsidRPr="004D34C0">
                        <w:t xml:space="preserve">Amongst the portfolio’s strongest performers in 2025 were Rolls Royce, Broadcom and Tesla. Rolls Royce was supported by a continued recovery in civil aerospace and increased defence spending. Tesla benefitted from the advancement of the autonomous vehicle narrative, whilst Broadcom enjoyed revenue and earnings growth resulting from the AI infrastructure spending boom. </w:t>
                      </w:r>
                    </w:p>
                    <w:p w14:paraId="7E51063A" w14:textId="77777777" w:rsidR="004D34C0" w:rsidRPr="004D34C0" w:rsidRDefault="004D34C0" w:rsidP="00382B3C">
                      <w:pPr>
                        <w:jc w:val="both"/>
                      </w:pPr>
                      <w:r w:rsidRPr="004D34C0">
                        <w:t> </w:t>
                      </w:r>
                    </w:p>
                    <w:p w14:paraId="66504E83" w14:textId="77777777" w:rsidR="004D34C0" w:rsidRDefault="004D34C0" w:rsidP="00382B3C">
                      <w:pPr>
                        <w:jc w:val="both"/>
                      </w:pP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5885FC4F" wp14:editId="7B4E3839">
                <wp:simplePos x="0" y="0"/>
                <wp:positionH relativeFrom="column">
                  <wp:posOffset>-765544</wp:posOffset>
                </wp:positionH>
                <wp:positionV relativeFrom="paragraph">
                  <wp:posOffset>-212651</wp:posOffset>
                </wp:positionV>
                <wp:extent cx="5018567" cy="7623544"/>
                <wp:effectExtent l="0" t="0" r="0" b="0"/>
                <wp:wrapNone/>
                <wp:docPr id="966646484" name="Text Box 1"/>
                <wp:cNvGraphicFramePr/>
                <a:graphic xmlns:a="http://schemas.openxmlformats.org/drawingml/2006/main">
                  <a:graphicData uri="http://schemas.microsoft.com/office/word/2010/wordprocessingShape">
                    <wps:wsp>
                      <wps:cNvSpPr txBox="1"/>
                      <wps:spPr>
                        <a:xfrm>
                          <a:off x="0" y="0"/>
                          <a:ext cx="5018567" cy="7623544"/>
                        </a:xfrm>
                        <a:prstGeom prst="rect">
                          <a:avLst/>
                        </a:prstGeom>
                        <a:solidFill>
                          <a:schemeClr val="lt1"/>
                        </a:solidFill>
                        <a:ln w="6350">
                          <a:noFill/>
                        </a:ln>
                      </wps:spPr>
                      <wps:txbx>
                        <w:txbxContent>
                          <w:p w14:paraId="1D81302C" w14:textId="77777777" w:rsidR="004D34C0" w:rsidRPr="004D34C0" w:rsidRDefault="004D34C0" w:rsidP="00382B3C">
                            <w:pPr>
                              <w:jc w:val="both"/>
                              <w:rPr>
                                <w:b/>
                                <w:bCs/>
                              </w:rPr>
                            </w:pPr>
                            <w:r w:rsidRPr="004D34C0">
                              <w:rPr>
                                <w:b/>
                                <w:bCs/>
                              </w:rPr>
                              <w:t>2025 Markets and Economy</w:t>
                            </w:r>
                          </w:p>
                          <w:p w14:paraId="0021CE92" w14:textId="77777777" w:rsidR="004D34C0" w:rsidRPr="004D34C0" w:rsidRDefault="004D34C0" w:rsidP="00382B3C">
                            <w:pPr>
                              <w:jc w:val="both"/>
                            </w:pPr>
                            <w:r w:rsidRPr="004D34C0">
                              <w:t>Global markets in 2025 were shaped by a volatile mix of shifting trade policy, monetary easing, and powerful structural growth drivers, most notably AI. In the US, equities ultimately delivered a strong year, with the S&amp;P 500 finishing up in the mid-teens and reaching multiple record highs, despite periods of sharp drawdowns along the way. Early in the year, markets sold off aggressively following the Trump administration’s sweeping tariff announcements, which included broad-based measures on Chinese imports and targeted tariffs on European autos and strategic industrial goods. The scale and speed of these proposals triggered a sharp risk-off reaction as investors reassessed global trade flows, inflation risks, and corporate margins.</w:t>
                            </w:r>
                          </w:p>
                          <w:p w14:paraId="2BFE6E90" w14:textId="77777777" w:rsidR="004D34C0" w:rsidRPr="004D34C0" w:rsidRDefault="004D34C0" w:rsidP="00382B3C">
                            <w:pPr>
                              <w:jc w:val="both"/>
                            </w:pPr>
                            <w:r w:rsidRPr="004D34C0">
                              <w:t xml:space="preserve">However, sentiment stabilised and markets recovered strongly once the administration pivoted, introducing extended deadlines and signalling a willingness to renegotiate trade terms with key partners. This reduced the immediate risk of a full-scale trade shock and allowed investors to refocus on underlying fundamentals. While tariffs were not the primary driver of equity gains, select sectors such as industrials, defence, and materials benefited from expectations of reshoring, higher domestic investment, and improved pricing power. The dominant contributor to market performance, however, remained technology, particularly companies exposed to AI infrastructure, semiconductors, cloud computing, and power-intensive data centre </w:t>
                            </w:r>
                            <w:proofErr w:type="gramStart"/>
                            <w:r w:rsidRPr="004D34C0">
                              <w:t>build-outs</w:t>
                            </w:r>
                            <w:proofErr w:type="gramEnd"/>
                            <w:r w:rsidRPr="004D34C0">
                              <w:t>.</w:t>
                            </w:r>
                          </w:p>
                          <w:p w14:paraId="5AE454A4" w14:textId="77777777" w:rsidR="004D34C0" w:rsidRPr="004D34C0" w:rsidRDefault="004D34C0" w:rsidP="00382B3C">
                            <w:pPr>
                              <w:jc w:val="both"/>
                            </w:pPr>
                            <w:r w:rsidRPr="004D34C0">
                              <w:t xml:space="preserve">US economic growth remained resilient, with GDP expanding at a solid pace over the year. A significant proportion of incremental growth was attributable to AI-related capital expenditure, as </w:t>
                            </w:r>
                            <w:proofErr w:type="spellStart"/>
                            <w:r w:rsidRPr="004D34C0">
                              <w:t>hyperscalers</w:t>
                            </w:r>
                            <w:proofErr w:type="spellEnd"/>
                            <w:r w:rsidRPr="004D34C0">
                              <w:t xml:space="preserve"> and corporates accelerated investment in computing capacity, energy infrastructure, and automation. Monetary policy also became more supportive as the year progressed. With inflation easing toward target and labour market conditions cooling without a sharp rise in unemployment, the Federal Reserve began cutting rates in the second half of the year, bringing the policy rate to a range of 3.50-3.75% by year-end. This shift provided an additional tailwind to stocks.</w:t>
                            </w:r>
                          </w:p>
                          <w:p w14:paraId="04900700" w14:textId="77777777" w:rsidR="004D34C0" w:rsidRPr="004D34C0" w:rsidRDefault="004D34C0" w:rsidP="00382B3C">
                            <w:pPr>
                              <w:jc w:val="both"/>
                            </w:pPr>
                            <w:r w:rsidRPr="004D34C0">
                              <w:t>In the UK, the FTSE 100 outperformed many global peers, supported by its defensive composition, strength in energy and mining stocks, and periods of sterling weakness that boosted overseas earnings. The Bank of England began cutting rates in the second half of the year as inflation eased, though progress was uneven and price pressures remained stickier than in the US. Gilt markets experienced bouts of volatility amid fiscal uncertainty following the Labour government’s first budget and renewed scrutiny of public finances. European growth lagged further, constrained by fiscal pressures and ongoing political instability, particularly in France, where government turnover and deficit concerns weighed on sentiment and bond markets.</w:t>
                            </w:r>
                          </w:p>
                          <w:p w14:paraId="2469424D" w14:textId="77777777" w:rsidR="004D34C0" w:rsidRPr="004D34C0" w:rsidRDefault="004D34C0" w:rsidP="00382B3C">
                            <w:pPr>
                              <w:jc w:val="both"/>
                            </w:pPr>
                            <w:r w:rsidRPr="004D34C0">
                              <w:t xml:space="preserve">Despite elevated geopolitical risks and trade uncertainty, 2025 ultimately reinforced markets’ focus on liquidity, earnings resilience, and structural investment themes, with AI-driven capital expenditure emerging as the defining force behind both economic growth and equity market performance. </w:t>
                            </w:r>
                          </w:p>
                          <w:p w14:paraId="75213965" w14:textId="77777777" w:rsidR="004D34C0" w:rsidRPr="004D34C0" w:rsidRDefault="004D34C0" w:rsidP="00382B3C">
                            <w:pPr>
                              <w:jc w:val="both"/>
                            </w:pPr>
                            <w:r w:rsidRPr="004D34C0">
                              <w:t> </w:t>
                            </w:r>
                          </w:p>
                          <w:p w14:paraId="502E7172" w14:textId="77777777" w:rsidR="004D34C0" w:rsidRDefault="004D34C0" w:rsidP="00382B3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5FC4F" id="Text Box 1" o:spid="_x0000_s1028" type="#_x0000_t202" style="position:absolute;margin-left:-60.3pt;margin-top:-16.75pt;width:395.15pt;height:60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CgMg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" fillcolor="white [3201]" stroked="f" strokeweight=".5pt">
                <v:textbox>
                  <w:txbxContent>
                    <w:p w14:paraId="1D81302C" w14:textId="77777777" w:rsidR="004D34C0" w:rsidRPr="004D34C0" w:rsidRDefault="004D34C0" w:rsidP="00382B3C">
                      <w:pPr>
                        <w:jc w:val="both"/>
                        <w:rPr>
                          <w:b/>
                          <w:bCs/>
                        </w:rPr>
                      </w:pPr>
                      <w:r w:rsidRPr="004D34C0">
                        <w:rPr>
                          <w:b/>
                          <w:bCs/>
                        </w:rPr>
                        <w:t>2025 Markets and Economy</w:t>
                      </w:r>
                    </w:p>
                    <w:p w14:paraId="0021CE92" w14:textId="77777777" w:rsidR="004D34C0" w:rsidRPr="004D34C0" w:rsidRDefault="004D34C0" w:rsidP="00382B3C">
                      <w:pPr>
                        <w:jc w:val="both"/>
                      </w:pPr>
                      <w:r w:rsidRPr="004D34C0">
                        <w:t>Global markets in 2025 were shaped by a volatile mix of shifting trade policy, monetary easing, and powerful structural growth drivers, most notably AI. In the US, equities ultimately delivered a strong year, with the S&amp;P 500 finishing up in the mid-teens and reaching multiple record highs, despite periods of sharp drawdowns along the way. Early in the year, markets sold off aggressively following the Trump administration’s sweeping tariff announcements, which included broad-based measures on Chinese imports and targeted tariffs on European autos and strategic industrial goods. The scale and speed of these proposals triggered a sharp risk-off reaction as investors reassessed global trade flows, inflation risks, and corporate margins.</w:t>
                      </w:r>
                    </w:p>
                    <w:p w14:paraId="2BFE6E90" w14:textId="77777777" w:rsidR="004D34C0" w:rsidRPr="004D34C0" w:rsidRDefault="004D34C0" w:rsidP="00382B3C">
                      <w:pPr>
                        <w:jc w:val="both"/>
                      </w:pPr>
                      <w:r w:rsidRPr="004D34C0">
                        <w:t xml:space="preserve">However, sentiment stabilised and markets recovered strongly once the administration pivoted, introducing extended deadlines and signalling a willingness to renegotiate trade terms with key partners. This reduced the immediate risk of a full-scale trade shock and allowed investors to refocus on underlying fundamentals. While tariffs were not the primary driver of equity gains, select sectors such as industrials, defence, and materials benefited from expectations of reshoring, higher domestic investment, and improved pricing power. The dominant contributor to market performance, however, remained technology, particularly companies exposed to AI infrastructure, semiconductors, cloud computing, and power-intensive data centre </w:t>
                      </w:r>
                      <w:proofErr w:type="gramStart"/>
                      <w:r w:rsidRPr="004D34C0">
                        <w:t>build-outs</w:t>
                      </w:r>
                      <w:proofErr w:type="gramEnd"/>
                      <w:r w:rsidRPr="004D34C0">
                        <w:t>.</w:t>
                      </w:r>
                    </w:p>
                    <w:p w14:paraId="5AE454A4" w14:textId="77777777" w:rsidR="004D34C0" w:rsidRPr="004D34C0" w:rsidRDefault="004D34C0" w:rsidP="00382B3C">
                      <w:pPr>
                        <w:jc w:val="both"/>
                      </w:pPr>
                      <w:r w:rsidRPr="004D34C0">
                        <w:t xml:space="preserve">US economic growth remained resilient, with GDP expanding at a solid pace over the year. A significant proportion of incremental growth was attributable to AI-related capital expenditure, as </w:t>
                      </w:r>
                      <w:proofErr w:type="spellStart"/>
                      <w:r w:rsidRPr="004D34C0">
                        <w:t>hyperscalers</w:t>
                      </w:r>
                      <w:proofErr w:type="spellEnd"/>
                      <w:r w:rsidRPr="004D34C0">
                        <w:t xml:space="preserve"> and corporates accelerated investment in computing capacity, energy infrastructure, and automation. Monetary policy also became more supportive as the year progressed. With inflation easing toward target and labour market conditions cooling without a sharp rise in unemployment, the Federal Reserve began cutting rates in the second half of the year, bringing the policy rate to a range of 3.50-3.75% by year-end. This shift provided an additional tailwind to stocks.</w:t>
                      </w:r>
                    </w:p>
                    <w:p w14:paraId="04900700" w14:textId="77777777" w:rsidR="004D34C0" w:rsidRPr="004D34C0" w:rsidRDefault="004D34C0" w:rsidP="00382B3C">
                      <w:pPr>
                        <w:jc w:val="both"/>
                      </w:pPr>
                      <w:r w:rsidRPr="004D34C0">
                        <w:t>In the UK, the FTSE 100 outperformed many global peers, supported by its defensive composition, strength in energy and mining stocks, and periods of sterling weakness that boosted overseas earnings. The Bank of England began cutting rates in the second half of the year as inflation eased, though progress was uneven and price pressures remained stickier than in the US. Gilt markets experienced bouts of volatility amid fiscal uncertainty following the Labour government’s first budget and renewed scrutiny of public finances. European growth lagged further, constrained by fiscal pressures and ongoing political instability, particularly in France, where government turnover and deficit concerns weighed on sentiment and bond markets.</w:t>
                      </w:r>
                    </w:p>
                    <w:p w14:paraId="2469424D" w14:textId="77777777" w:rsidR="004D34C0" w:rsidRPr="004D34C0" w:rsidRDefault="004D34C0" w:rsidP="00382B3C">
                      <w:pPr>
                        <w:jc w:val="both"/>
                      </w:pPr>
                      <w:r w:rsidRPr="004D34C0">
                        <w:t xml:space="preserve">Despite elevated geopolitical risks and trade uncertainty, 2025 ultimately reinforced markets’ focus on liquidity, earnings resilience, and structural investment themes, with AI-driven capital expenditure emerging as the defining force behind both economic growth and equity market performance. </w:t>
                      </w:r>
                    </w:p>
                    <w:p w14:paraId="75213965" w14:textId="77777777" w:rsidR="004D34C0" w:rsidRPr="004D34C0" w:rsidRDefault="004D34C0" w:rsidP="00382B3C">
                      <w:pPr>
                        <w:jc w:val="both"/>
                      </w:pPr>
                      <w:r w:rsidRPr="004D34C0">
                        <w:t> </w:t>
                      </w:r>
                    </w:p>
                    <w:p w14:paraId="502E7172" w14:textId="77777777" w:rsidR="004D34C0" w:rsidRDefault="004D34C0" w:rsidP="00382B3C">
                      <w:pPr>
                        <w:jc w:val="both"/>
                      </w:pPr>
                    </w:p>
                  </w:txbxContent>
                </v:textbox>
              </v:shape>
            </w:pict>
          </mc:Fallback>
        </mc:AlternateContent>
      </w:r>
      <w:r w:rsidR="00EA1543">
        <w:rPr>
          <w:noProof/>
        </w:rPr>
        <mc:AlternateContent>
          <mc:Choice Requires="wps">
            <w:drawing>
              <wp:anchor distT="0" distB="0" distL="114300" distR="114300" simplePos="0" relativeHeight="251657728" behindDoc="0" locked="0" layoutInCell="1" allowOverlap="1" wp14:anchorId="401BFFB5" wp14:editId="7165F759">
                <wp:simplePos x="0" y="0"/>
                <wp:positionH relativeFrom="column">
                  <wp:posOffset>-765544</wp:posOffset>
                </wp:positionH>
                <wp:positionV relativeFrom="paragraph">
                  <wp:posOffset>-712381</wp:posOffset>
                </wp:positionV>
                <wp:extent cx="4138915" cy="436245"/>
                <wp:effectExtent l="0" t="0" r="0" b="1905"/>
                <wp:wrapNone/>
                <wp:docPr id="544744877" name="Text Box 2"/>
                <wp:cNvGraphicFramePr/>
                <a:graphic xmlns:a="http://schemas.openxmlformats.org/drawingml/2006/main">
                  <a:graphicData uri="http://schemas.microsoft.com/office/word/2010/wordprocessingShape">
                    <wps:wsp>
                      <wps:cNvSpPr txBox="1"/>
                      <wps:spPr>
                        <a:xfrm>
                          <a:off x="0" y="0"/>
                          <a:ext cx="4138915" cy="436245"/>
                        </a:xfrm>
                        <a:prstGeom prst="rect">
                          <a:avLst/>
                        </a:prstGeom>
                        <a:solidFill>
                          <a:schemeClr val="lt1"/>
                        </a:solidFill>
                        <a:ln w="6350">
                          <a:noFill/>
                        </a:ln>
                      </wps:spPr>
                      <wps:txbx>
                        <w:txbxContent>
                          <w:p w14:paraId="2DFED51F" w14:textId="6F0487C5" w:rsidR="004D34C0" w:rsidRPr="004D34C0" w:rsidRDefault="004D34C0" w:rsidP="004D34C0">
                            <w:pPr>
                              <w:rPr>
                                <w:b/>
                                <w:bCs/>
                                <w:sz w:val="40"/>
                                <w:szCs w:val="40"/>
                              </w:rPr>
                            </w:pPr>
                            <w:r w:rsidRPr="004D34C0">
                              <w:rPr>
                                <w:b/>
                                <w:bCs/>
                                <w:sz w:val="40"/>
                                <w:szCs w:val="40"/>
                              </w:rPr>
                              <w:t xml:space="preserve">Q4 &amp; Full Year </w:t>
                            </w:r>
                            <w:r w:rsidR="00AA57AD">
                              <w:rPr>
                                <w:b/>
                                <w:bCs/>
                                <w:sz w:val="40"/>
                                <w:szCs w:val="40"/>
                              </w:rPr>
                              <w:t xml:space="preserve">2025 </w:t>
                            </w:r>
                            <w:r w:rsidRPr="004D34C0">
                              <w:rPr>
                                <w:b/>
                                <w:bCs/>
                                <w:sz w:val="40"/>
                                <w:szCs w:val="40"/>
                              </w:rPr>
                              <w:t>Newsletter</w:t>
                            </w:r>
                          </w:p>
                          <w:p w14:paraId="2442C714" w14:textId="77777777" w:rsidR="004D34C0" w:rsidRPr="004D34C0" w:rsidRDefault="004D34C0" w:rsidP="004D34C0">
                            <w:pPr>
                              <w:rPr>
                                <w:sz w:val="40"/>
                                <w:szCs w:val="40"/>
                              </w:rPr>
                            </w:pPr>
                            <w:r w:rsidRPr="004D34C0">
                              <w:rPr>
                                <w:sz w:val="40"/>
                                <w:szCs w:val="40"/>
                              </w:rPr>
                              <w:t> </w:t>
                            </w:r>
                          </w:p>
                          <w:p w14:paraId="40B28C0E" w14:textId="77777777" w:rsidR="004D34C0" w:rsidRPr="004D34C0" w:rsidRDefault="004D34C0">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BFFB5" id="_x0000_s1029" type="#_x0000_t202" style="position:absolute;margin-left:-60.3pt;margin-top:-56.1pt;width:325.9pt;height:3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" fillcolor="white [3201]" stroked="f" strokeweight=".5pt">
                <v:textbox>
                  <w:txbxContent>
                    <w:p w14:paraId="2DFED51F" w14:textId="6F0487C5" w:rsidR="004D34C0" w:rsidRPr="004D34C0" w:rsidRDefault="004D34C0" w:rsidP="004D34C0">
                      <w:pPr>
                        <w:rPr>
                          <w:b/>
                          <w:bCs/>
                          <w:sz w:val="40"/>
                          <w:szCs w:val="40"/>
                        </w:rPr>
                      </w:pPr>
                      <w:r w:rsidRPr="004D34C0">
                        <w:rPr>
                          <w:b/>
                          <w:bCs/>
                          <w:sz w:val="40"/>
                          <w:szCs w:val="40"/>
                        </w:rPr>
                        <w:t xml:space="preserve">Q4 &amp; Full Year </w:t>
                      </w:r>
                      <w:r w:rsidR="00AA57AD">
                        <w:rPr>
                          <w:b/>
                          <w:bCs/>
                          <w:sz w:val="40"/>
                          <w:szCs w:val="40"/>
                        </w:rPr>
                        <w:t xml:space="preserve">2025 </w:t>
                      </w:r>
                      <w:r w:rsidRPr="004D34C0">
                        <w:rPr>
                          <w:b/>
                          <w:bCs/>
                          <w:sz w:val="40"/>
                          <w:szCs w:val="40"/>
                        </w:rPr>
                        <w:t>Newsletter</w:t>
                      </w:r>
                    </w:p>
                    <w:p w14:paraId="2442C714" w14:textId="77777777" w:rsidR="004D34C0" w:rsidRPr="004D34C0" w:rsidRDefault="004D34C0" w:rsidP="004D34C0">
                      <w:pPr>
                        <w:rPr>
                          <w:sz w:val="40"/>
                          <w:szCs w:val="40"/>
                        </w:rPr>
                      </w:pPr>
                      <w:r w:rsidRPr="004D34C0">
                        <w:rPr>
                          <w:sz w:val="40"/>
                          <w:szCs w:val="40"/>
                        </w:rPr>
                        <w:t> </w:t>
                      </w:r>
                    </w:p>
                    <w:p w14:paraId="40B28C0E" w14:textId="77777777" w:rsidR="004D34C0" w:rsidRPr="004D34C0" w:rsidRDefault="004D34C0">
                      <w:pPr>
                        <w:rPr>
                          <w:sz w:val="40"/>
                          <w:szCs w:val="40"/>
                        </w:rPr>
                      </w:pPr>
                    </w:p>
                  </w:txbxContent>
                </v:textbox>
              </v:shape>
            </w:pict>
          </mc:Fallback>
        </mc:AlternateContent>
      </w:r>
    </w:p>
    <w:p w14:paraId="721C9D95" w14:textId="6D073EB3" w:rsidR="004D34C0" w:rsidRPr="004D34C0" w:rsidRDefault="004D34C0" w:rsidP="004D34C0"/>
    <w:p w14:paraId="04646725" w14:textId="6534FF14" w:rsidR="004D34C0" w:rsidRPr="004D34C0" w:rsidRDefault="004D34C0" w:rsidP="004D34C0"/>
    <w:p w14:paraId="113DB58C" w14:textId="0690C8D8" w:rsidR="004D34C0" w:rsidRPr="004D34C0" w:rsidRDefault="004D34C0" w:rsidP="004D34C0"/>
    <w:p w14:paraId="1A7FF96F" w14:textId="77777777" w:rsidR="004D34C0" w:rsidRPr="004D34C0" w:rsidRDefault="004D34C0" w:rsidP="004D34C0"/>
    <w:p w14:paraId="5F81AEFD" w14:textId="77777777" w:rsidR="004D34C0" w:rsidRPr="004D34C0" w:rsidRDefault="004D34C0" w:rsidP="004D34C0"/>
    <w:p w14:paraId="13D97525" w14:textId="373C5099" w:rsidR="004D34C0" w:rsidRPr="004D34C0" w:rsidRDefault="004D34C0" w:rsidP="004D34C0"/>
    <w:p w14:paraId="15E280DA" w14:textId="77777777" w:rsidR="004D34C0" w:rsidRPr="004D34C0" w:rsidRDefault="004D34C0" w:rsidP="004D34C0"/>
    <w:p w14:paraId="1E8D36EB" w14:textId="54102792" w:rsidR="004D34C0" w:rsidRPr="004D34C0" w:rsidRDefault="004D34C0" w:rsidP="004D34C0"/>
    <w:p w14:paraId="1FE68051" w14:textId="026BF6DF" w:rsidR="004D34C0" w:rsidRPr="004D34C0" w:rsidRDefault="004D34C0" w:rsidP="004D34C0"/>
    <w:p w14:paraId="5E480D00" w14:textId="344BE09E" w:rsidR="004D34C0" w:rsidRPr="004D34C0" w:rsidRDefault="004D34C0" w:rsidP="004D34C0"/>
    <w:p w14:paraId="41C05936" w14:textId="77777777" w:rsidR="004D34C0" w:rsidRPr="004D34C0" w:rsidRDefault="004D34C0" w:rsidP="004D34C0"/>
    <w:p w14:paraId="135AE949" w14:textId="0C842EA0" w:rsidR="004D34C0" w:rsidRPr="004D34C0" w:rsidRDefault="004D34C0" w:rsidP="004D34C0"/>
    <w:p w14:paraId="1F2FCFFB" w14:textId="77777777" w:rsidR="004D34C0" w:rsidRPr="004D34C0" w:rsidRDefault="004D34C0" w:rsidP="004D34C0"/>
    <w:p w14:paraId="2E6D3346" w14:textId="77777777" w:rsidR="004D34C0" w:rsidRPr="004D34C0" w:rsidRDefault="004D34C0" w:rsidP="004D34C0"/>
    <w:p w14:paraId="070E23B1" w14:textId="77777777" w:rsidR="004D34C0" w:rsidRPr="004D34C0" w:rsidRDefault="004D34C0" w:rsidP="004D34C0"/>
    <w:p w14:paraId="640FBA19" w14:textId="77777777" w:rsidR="004D34C0" w:rsidRPr="004D34C0" w:rsidRDefault="004D34C0" w:rsidP="004D34C0"/>
    <w:p w14:paraId="5C58100A" w14:textId="77777777" w:rsidR="004D34C0" w:rsidRPr="004D34C0" w:rsidRDefault="004D34C0" w:rsidP="004D34C0"/>
    <w:p w14:paraId="07124687" w14:textId="77777777" w:rsidR="004D34C0" w:rsidRPr="004D34C0" w:rsidRDefault="004D34C0" w:rsidP="004D34C0"/>
    <w:p w14:paraId="1E276F5A" w14:textId="77777777" w:rsidR="004D34C0" w:rsidRPr="004D34C0" w:rsidRDefault="004D34C0" w:rsidP="004D34C0"/>
    <w:p w14:paraId="761DCCEC" w14:textId="77777777" w:rsidR="004D34C0" w:rsidRPr="004D34C0" w:rsidRDefault="004D34C0" w:rsidP="004D34C0"/>
    <w:p w14:paraId="1AAE7CA5" w14:textId="77777777" w:rsidR="004D34C0" w:rsidRPr="004D34C0" w:rsidRDefault="004D34C0" w:rsidP="004D34C0"/>
    <w:p w14:paraId="4EFE8913" w14:textId="77777777" w:rsidR="004D34C0" w:rsidRPr="004D34C0" w:rsidRDefault="004D34C0" w:rsidP="004D34C0"/>
    <w:p w14:paraId="6FD3DCD3" w14:textId="77777777" w:rsidR="004D34C0" w:rsidRPr="004D34C0" w:rsidRDefault="004D34C0" w:rsidP="004D34C0"/>
    <w:tbl>
      <w:tblPr>
        <w:tblStyle w:val="TableGrid"/>
        <w:tblpPr w:leftFromText="180" w:rightFromText="180" w:vertAnchor="page" w:horzAnchor="page" w:tblpX="388" w:tblpY="13162"/>
        <w:tblW w:w="0" w:type="auto"/>
        <w:tblLook w:val="04A0" w:firstRow="1" w:lastRow="0" w:firstColumn="1" w:lastColumn="0" w:noHBand="0" w:noVBand="1"/>
      </w:tblPr>
      <w:tblGrid>
        <w:gridCol w:w="1555"/>
        <w:gridCol w:w="1128"/>
        <w:gridCol w:w="992"/>
        <w:gridCol w:w="925"/>
      </w:tblGrid>
      <w:tr w:rsidR="00382B3C" w14:paraId="0701E3C6" w14:textId="77777777" w:rsidTr="006569D4">
        <w:trPr>
          <w:trHeight w:val="346"/>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8FEEFB" w14:textId="77777777" w:rsidR="00382B3C" w:rsidRDefault="00382B3C" w:rsidP="006569D4"/>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CFFEC9" w14:textId="4AC281C6" w:rsidR="00382B3C" w:rsidRPr="00382B3C" w:rsidRDefault="00382B3C" w:rsidP="006569D4">
            <w:pPr>
              <w:jc w:val="center"/>
              <w:rPr>
                <w:b/>
                <w:bCs/>
              </w:rPr>
            </w:pPr>
            <w:r w:rsidRPr="00382B3C">
              <w:rPr>
                <w:b/>
                <w:bCs/>
              </w:rPr>
              <w:t>Q4 Price</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6E1235" w14:textId="77777777" w:rsidR="00382B3C" w:rsidRPr="00382B3C" w:rsidRDefault="00382B3C" w:rsidP="006569D4">
            <w:pPr>
              <w:jc w:val="center"/>
              <w:rPr>
                <w:b/>
                <w:bCs/>
              </w:rPr>
            </w:pPr>
            <w:r w:rsidRPr="00382B3C">
              <w:rPr>
                <w:b/>
                <w:bCs/>
              </w:rPr>
              <w:t>Q4 %</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D1CAD" w14:textId="77777777" w:rsidR="00382B3C" w:rsidRPr="00382B3C" w:rsidRDefault="00382B3C" w:rsidP="006569D4">
            <w:pPr>
              <w:jc w:val="center"/>
              <w:rPr>
                <w:b/>
                <w:bCs/>
              </w:rPr>
            </w:pPr>
            <w:r w:rsidRPr="00382B3C">
              <w:rPr>
                <w:b/>
                <w:bCs/>
              </w:rPr>
              <w:t>2025 %</w:t>
            </w:r>
          </w:p>
        </w:tc>
      </w:tr>
      <w:tr w:rsidR="00382B3C" w14:paraId="10CF6A11" w14:textId="77777777" w:rsidTr="006569D4">
        <w:trPr>
          <w:trHeight w:val="346"/>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8BDBDB" w14:textId="77777777" w:rsidR="00382B3C" w:rsidRPr="00382B3C" w:rsidRDefault="00382B3C" w:rsidP="006569D4">
            <w:pPr>
              <w:rPr>
                <w:b/>
                <w:bCs/>
              </w:rPr>
            </w:pPr>
            <w:r w:rsidRPr="00382B3C">
              <w:rPr>
                <w:b/>
                <w:bCs/>
              </w:rPr>
              <w:t>FTSE 100</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7E440C" w14:textId="329F1043" w:rsidR="00382B3C" w:rsidRDefault="00382B3C" w:rsidP="006569D4">
            <w:pPr>
              <w:jc w:val="center"/>
            </w:pPr>
            <w:r>
              <w:t>9,931.38</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5442C" w14:textId="1445EBD9" w:rsidR="00382B3C" w:rsidRDefault="00382B3C" w:rsidP="006569D4">
            <w:pPr>
              <w:jc w:val="center"/>
            </w:pPr>
            <w:r>
              <w:t>6.21%</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150E39" w14:textId="72327033" w:rsidR="00382B3C" w:rsidRDefault="00EA1543" w:rsidP="006569D4">
            <w:pPr>
              <w:jc w:val="center"/>
            </w:pPr>
            <w:r>
              <w:t>21.51%</w:t>
            </w:r>
          </w:p>
        </w:tc>
      </w:tr>
      <w:tr w:rsidR="00382B3C" w14:paraId="6CDDA070" w14:textId="77777777" w:rsidTr="006569D4">
        <w:trPr>
          <w:trHeight w:val="417"/>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24BAFD" w14:textId="77777777" w:rsidR="00382B3C" w:rsidRPr="00382B3C" w:rsidRDefault="00382B3C" w:rsidP="006569D4">
            <w:pPr>
              <w:rPr>
                <w:b/>
                <w:bCs/>
              </w:rPr>
            </w:pPr>
            <w:r w:rsidRPr="00382B3C">
              <w:rPr>
                <w:b/>
                <w:bCs/>
              </w:rPr>
              <w:t>S&amp;P 500</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2620DA" w14:textId="45AAF97C" w:rsidR="00382B3C" w:rsidRDefault="00382B3C" w:rsidP="006569D4">
            <w:pPr>
              <w:jc w:val="center"/>
            </w:pPr>
            <w:r>
              <w:t>6,845.50</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C713B9" w14:textId="41C4EC2E" w:rsidR="00382B3C" w:rsidRDefault="00EA1543" w:rsidP="006569D4">
            <w:pPr>
              <w:jc w:val="center"/>
            </w:pPr>
            <w:r>
              <w:t>2.35%</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4CA833" w14:textId="6BEBD543" w:rsidR="00EA1543" w:rsidRDefault="00EA1543" w:rsidP="006569D4">
            <w:pPr>
              <w:jc w:val="center"/>
            </w:pPr>
            <w:r>
              <w:t>16.39%</w:t>
            </w:r>
          </w:p>
        </w:tc>
      </w:tr>
      <w:tr w:rsidR="00382B3C" w14:paraId="789DF5DF" w14:textId="77777777" w:rsidTr="006569D4">
        <w:trPr>
          <w:trHeight w:val="373"/>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60E8D1" w14:textId="77777777" w:rsidR="00382B3C" w:rsidRPr="00382B3C" w:rsidRDefault="00382B3C" w:rsidP="006569D4">
            <w:pPr>
              <w:rPr>
                <w:b/>
                <w:bCs/>
              </w:rPr>
            </w:pPr>
            <w:r w:rsidRPr="00382B3C">
              <w:rPr>
                <w:b/>
                <w:bCs/>
              </w:rPr>
              <w:t>Brent crude p/b</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D064C7" w14:textId="1F88563E" w:rsidR="00382B3C" w:rsidRDefault="00382B3C" w:rsidP="006569D4">
            <w:pPr>
              <w:jc w:val="center"/>
            </w:pPr>
            <w:r>
              <w:t>$61.22</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B711BE" w14:textId="443882F8" w:rsidR="00382B3C" w:rsidRDefault="00EA1543" w:rsidP="006569D4">
            <w:pPr>
              <w:jc w:val="center"/>
            </w:pPr>
            <w:r>
              <w:t>-7.46%</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306BA2" w14:textId="6CE21498" w:rsidR="00382B3C" w:rsidRDefault="00EA1543" w:rsidP="006569D4">
            <w:pPr>
              <w:jc w:val="center"/>
            </w:pPr>
            <w:r>
              <w:t>-18.21%</w:t>
            </w:r>
          </w:p>
        </w:tc>
      </w:tr>
      <w:tr w:rsidR="00382B3C" w14:paraId="41B37B25" w14:textId="77777777" w:rsidTr="006569D4">
        <w:trPr>
          <w:trHeight w:val="373"/>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EE6BEA" w14:textId="19901F9C" w:rsidR="00382B3C" w:rsidRPr="00382B3C" w:rsidRDefault="00382B3C" w:rsidP="006569D4">
            <w:pPr>
              <w:rPr>
                <w:b/>
                <w:bCs/>
              </w:rPr>
            </w:pPr>
            <w:r w:rsidRPr="00382B3C">
              <w:rPr>
                <w:b/>
                <w:bCs/>
              </w:rPr>
              <w:t>Gold per oz</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AECC3E" w14:textId="6096AB39" w:rsidR="00382B3C" w:rsidRDefault="00382B3C" w:rsidP="006569D4">
            <w:pPr>
              <w:jc w:val="center"/>
            </w:pPr>
            <w:r>
              <w:t>$4,319.82</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DE575D" w14:textId="6FCD7E1E" w:rsidR="00382B3C" w:rsidRDefault="00EA1543" w:rsidP="006569D4">
            <w:pPr>
              <w:jc w:val="center"/>
            </w:pPr>
            <w:r>
              <w:t>11.94%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CA79E8" w14:textId="2359B850" w:rsidR="00382B3C" w:rsidRDefault="00EA1543" w:rsidP="006569D4">
            <w:pPr>
              <w:jc w:val="center"/>
            </w:pPr>
            <w:r>
              <w:t>64.60%</w:t>
            </w:r>
          </w:p>
        </w:tc>
      </w:tr>
      <w:tr w:rsidR="00382B3C" w14:paraId="6EE44AA4" w14:textId="77777777" w:rsidTr="006569D4">
        <w:trPr>
          <w:trHeight w:val="373"/>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880752" w14:textId="01D31BBF" w:rsidR="00382B3C" w:rsidRPr="00382B3C" w:rsidRDefault="00382B3C" w:rsidP="006569D4">
            <w:pPr>
              <w:rPr>
                <w:b/>
                <w:bCs/>
              </w:rPr>
            </w:pPr>
            <w:r w:rsidRPr="00382B3C">
              <w:rPr>
                <w:b/>
                <w:bCs/>
              </w:rPr>
              <w:t>Bitcoin (USD)</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8D9635" w14:textId="318156C6" w:rsidR="00382B3C" w:rsidRDefault="00382B3C" w:rsidP="006569D4">
            <w:pPr>
              <w:jc w:val="center"/>
            </w:pPr>
            <w:r>
              <w:t>$87,495.50</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C81253" w14:textId="4ECBCE75" w:rsidR="00382B3C" w:rsidRDefault="00EA1543" w:rsidP="006569D4">
            <w:pPr>
              <w:jc w:val="center"/>
            </w:pPr>
            <w:r>
              <w:t>-23.29%</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73ADEE" w14:textId="58859F6D" w:rsidR="00382B3C" w:rsidRDefault="00EA1543" w:rsidP="006569D4">
            <w:pPr>
              <w:jc w:val="center"/>
            </w:pPr>
            <w:r>
              <w:t>-6.29%</w:t>
            </w:r>
          </w:p>
        </w:tc>
      </w:tr>
      <w:tr w:rsidR="00382B3C" w14:paraId="058D6909" w14:textId="77777777" w:rsidTr="006569D4">
        <w:trPr>
          <w:trHeight w:val="373"/>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107059" w14:textId="4BA1E1F6" w:rsidR="00382B3C" w:rsidRPr="00382B3C" w:rsidRDefault="00382B3C" w:rsidP="006569D4">
            <w:pPr>
              <w:rPr>
                <w:b/>
                <w:bCs/>
              </w:rPr>
            </w:pPr>
            <w:r w:rsidRPr="00382B3C">
              <w:rPr>
                <w:b/>
                <w:bCs/>
              </w:rPr>
              <w:t>GBP/USD</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B2E4D1" w14:textId="4F06EEAE" w:rsidR="00382B3C" w:rsidRDefault="00382B3C" w:rsidP="006569D4">
            <w:pPr>
              <w:jc w:val="center"/>
            </w:pPr>
            <w:r>
              <w:t>$1.3447</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0101A3" w14:textId="29752004" w:rsidR="00382B3C" w:rsidRDefault="00EA1543" w:rsidP="006569D4">
            <w:pPr>
              <w:jc w:val="center"/>
            </w:pPr>
            <w:r>
              <w:t>0.04%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A8B0A3" w14:textId="71F17819" w:rsidR="00382B3C" w:rsidRDefault="00EA1543" w:rsidP="006569D4">
            <w:pPr>
              <w:jc w:val="center"/>
            </w:pPr>
            <w:r>
              <w:t>7.45%</w:t>
            </w:r>
          </w:p>
        </w:tc>
      </w:tr>
      <w:tr w:rsidR="00382B3C" w14:paraId="5EBC364C" w14:textId="77777777" w:rsidTr="006569D4">
        <w:trPr>
          <w:trHeight w:val="373"/>
        </w:trPr>
        <w:tc>
          <w:tcPr>
            <w:tcW w:w="15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032FA6" w14:textId="26B8A46A" w:rsidR="00382B3C" w:rsidRPr="00382B3C" w:rsidRDefault="00382B3C" w:rsidP="006569D4">
            <w:pPr>
              <w:rPr>
                <w:b/>
                <w:bCs/>
              </w:rPr>
            </w:pPr>
            <w:r w:rsidRPr="00382B3C">
              <w:rPr>
                <w:b/>
                <w:bCs/>
              </w:rPr>
              <w:t>UK 10yr yield</w:t>
            </w:r>
          </w:p>
        </w:tc>
        <w:tc>
          <w:tcPr>
            <w:tcW w:w="11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47C1AF" w14:textId="53F0BD8C" w:rsidR="00382B3C" w:rsidRDefault="00382B3C" w:rsidP="006569D4">
            <w:pPr>
              <w:jc w:val="center"/>
            </w:pPr>
            <w:r>
              <w:t>4.48%</w:t>
            </w:r>
          </w:p>
        </w:tc>
        <w:tc>
          <w:tcPr>
            <w:tcW w:w="9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1DE09E6" w14:textId="2F263CFC" w:rsidR="00382B3C" w:rsidRDefault="00EA1543" w:rsidP="006569D4">
            <w:pPr>
              <w:jc w:val="center"/>
            </w:pPr>
            <w:r>
              <w:t>-0.22%</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2EA6A6" w14:textId="3B68B1D8" w:rsidR="00382B3C" w:rsidRDefault="00EA1543" w:rsidP="006569D4">
            <w:pPr>
              <w:jc w:val="center"/>
            </w:pPr>
            <w:r>
              <w:t>-0.12%</w:t>
            </w:r>
          </w:p>
        </w:tc>
      </w:tr>
    </w:tbl>
    <w:p w14:paraId="74DA0275" w14:textId="77777777" w:rsidR="004D34C0" w:rsidRPr="004D34C0" w:rsidRDefault="004D34C0" w:rsidP="004D34C0"/>
    <w:p w14:paraId="2CF8583B" w14:textId="77777777" w:rsidR="004D34C0" w:rsidRPr="004D34C0" w:rsidRDefault="004D34C0" w:rsidP="004D34C0"/>
    <w:p w14:paraId="7808ED0F" w14:textId="4025C8F2" w:rsidR="004D34C0" w:rsidRPr="004D34C0" w:rsidRDefault="00D649CD" w:rsidP="004D34C0">
      <w:r>
        <w:rPr>
          <w:noProof/>
        </w:rPr>
        <mc:AlternateContent>
          <mc:Choice Requires="wps">
            <w:drawing>
              <wp:anchor distT="0" distB="0" distL="114300" distR="114300" simplePos="0" relativeHeight="251660800" behindDoc="0" locked="0" layoutInCell="1" allowOverlap="1" wp14:anchorId="234D3D87" wp14:editId="0AC8895A">
                <wp:simplePos x="0" y="0"/>
                <wp:positionH relativeFrom="column">
                  <wp:posOffset>2296633</wp:posOffset>
                </wp:positionH>
                <wp:positionV relativeFrom="paragraph">
                  <wp:posOffset>280892</wp:posOffset>
                </wp:positionV>
                <wp:extent cx="4199255" cy="1839314"/>
                <wp:effectExtent l="0" t="0" r="0" b="8890"/>
                <wp:wrapNone/>
                <wp:docPr id="598203403" name="Text Box 2"/>
                <wp:cNvGraphicFramePr/>
                <a:graphic xmlns:a="http://schemas.openxmlformats.org/drawingml/2006/main">
                  <a:graphicData uri="http://schemas.microsoft.com/office/word/2010/wordprocessingShape">
                    <wps:wsp>
                      <wps:cNvSpPr txBox="1"/>
                      <wps:spPr>
                        <a:xfrm>
                          <a:off x="0" y="0"/>
                          <a:ext cx="4199255" cy="1839314"/>
                        </a:xfrm>
                        <a:prstGeom prst="rect">
                          <a:avLst/>
                        </a:prstGeom>
                        <a:solidFill>
                          <a:schemeClr val="lt1"/>
                        </a:solidFill>
                        <a:ln w="6350">
                          <a:noFill/>
                        </a:ln>
                      </wps:spPr>
                      <wps:txbx>
                        <w:txbxContent>
                          <w:p w14:paraId="191B9094" w14:textId="77777777" w:rsidR="004D34C0" w:rsidRPr="004D34C0" w:rsidRDefault="004D34C0" w:rsidP="004D34C0">
                            <w:pPr>
                              <w:rPr>
                                <w:b/>
                                <w:bCs/>
                              </w:rPr>
                            </w:pPr>
                            <w:r w:rsidRPr="004D34C0">
                              <w:rPr>
                                <w:b/>
                                <w:bCs/>
                              </w:rPr>
                              <w:t>Looking Ahead to 2026</w:t>
                            </w:r>
                          </w:p>
                          <w:p w14:paraId="3B470AD7" w14:textId="494D6ABA" w:rsidR="004D34C0" w:rsidRDefault="00D307FD" w:rsidP="00D307FD">
                            <w:pPr>
                              <w:jc w:val="both"/>
                            </w:pPr>
                            <w:r w:rsidRPr="00D307FD">
                              <w:t>Looking ahead to 2026, markets are likely to focus less on policy turning points and more on the durability of global growth as monetary easing feeds through to the real economy. Key considerations include the sustainability of AI-driven investment, the inflationary effects of tariffs and reshoring, the pace and limits of further rate cuts, and ongoing geopolitical risks. With outcomes diverging across regions and sectors, market leadership may become more fragmented, placing greater emphasis on a more focused investment process and the ability to respond effectively to evolving global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D3D87" id="_x0000_s1030" type="#_x0000_t202" style="position:absolute;margin-left:180.85pt;margin-top:22.1pt;width:330.65pt;height:144.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" fillcolor="white [3201]" stroked="f" strokeweight=".5pt">
                <v:textbox>
                  <w:txbxContent>
                    <w:p w14:paraId="191B9094" w14:textId="77777777" w:rsidR="004D34C0" w:rsidRPr="004D34C0" w:rsidRDefault="004D34C0" w:rsidP="004D34C0">
                      <w:pPr>
                        <w:rPr>
                          <w:b/>
                          <w:bCs/>
                        </w:rPr>
                      </w:pPr>
                      <w:r w:rsidRPr="004D34C0">
                        <w:rPr>
                          <w:b/>
                          <w:bCs/>
                        </w:rPr>
                        <w:t>Looking Ahead to 2026</w:t>
                      </w:r>
                    </w:p>
                    <w:p w14:paraId="3B470AD7" w14:textId="494D6ABA" w:rsidR="004D34C0" w:rsidRDefault="00D307FD" w:rsidP="00D307FD">
                      <w:pPr>
                        <w:jc w:val="both"/>
                      </w:pPr>
                      <w:r w:rsidRPr="00D307FD">
                        <w:t>Looking ahead to 2026, markets are likely to focus less on policy turning points and more on the durability of global growth as monetary easing feeds through to the real economy. Key considerations include the sustainability of AI-driven investment, the inflationary effects of tariffs and reshoring, the pace and limits of further rate cuts, and ongoing geopolitical risks. With outcomes diverging across regions and sectors, market leadership may become more fragmented, placing greater emphasis on a more focused investment process and the ability to respond effectively to evolving global conditions.</w:t>
                      </w:r>
                    </w:p>
                  </w:txbxContent>
                </v:textbox>
              </v:shape>
            </w:pict>
          </mc:Fallback>
        </mc:AlternateContent>
      </w:r>
    </w:p>
    <w:p w14:paraId="5A69C2D5" w14:textId="625A601B" w:rsidR="004D34C0" w:rsidRPr="004D34C0" w:rsidRDefault="004D34C0" w:rsidP="004D34C0"/>
    <w:p w14:paraId="70DCA1DD" w14:textId="08BC1B50" w:rsidR="004D34C0" w:rsidRPr="004D34C0" w:rsidRDefault="004D34C0" w:rsidP="004D34C0"/>
    <w:sectPr w:rsidR="004D34C0" w:rsidRPr="004D34C0" w:rsidSect="00382B3C">
      <w:pgSz w:w="11906" w:h="16838"/>
      <w:pgMar w:top="1440"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C0"/>
    <w:rsid w:val="000D1947"/>
    <w:rsid w:val="002F0D9D"/>
    <w:rsid w:val="00382B3C"/>
    <w:rsid w:val="004D34C0"/>
    <w:rsid w:val="0058718B"/>
    <w:rsid w:val="006569D4"/>
    <w:rsid w:val="006822C0"/>
    <w:rsid w:val="007F5FCD"/>
    <w:rsid w:val="009C51D5"/>
    <w:rsid w:val="009C717B"/>
    <w:rsid w:val="00AA57AD"/>
    <w:rsid w:val="00D307FD"/>
    <w:rsid w:val="00D649CD"/>
    <w:rsid w:val="00EA1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0B99"/>
  <w15:chartTrackingRefBased/>
  <w15:docId w15:val="{3A4E35BC-6F1B-4BA2-A0A6-FEBC133F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4C0"/>
  </w:style>
  <w:style w:type="paragraph" w:styleId="Heading1">
    <w:name w:val="heading 1"/>
    <w:basedOn w:val="Normal"/>
    <w:next w:val="Normal"/>
    <w:link w:val="Heading1Char"/>
    <w:uiPriority w:val="9"/>
    <w:qFormat/>
    <w:rsid w:val="004D3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4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4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D34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D34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34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34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34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4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4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34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34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34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34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34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3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4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4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34C0"/>
    <w:pPr>
      <w:spacing w:before="160"/>
      <w:jc w:val="center"/>
    </w:pPr>
    <w:rPr>
      <w:i/>
      <w:iCs/>
      <w:color w:val="404040" w:themeColor="text1" w:themeTint="BF"/>
    </w:rPr>
  </w:style>
  <w:style w:type="character" w:customStyle="1" w:styleId="QuoteChar">
    <w:name w:val="Quote Char"/>
    <w:basedOn w:val="DefaultParagraphFont"/>
    <w:link w:val="Quote"/>
    <w:uiPriority w:val="29"/>
    <w:rsid w:val="004D34C0"/>
    <w:rPr>
      <w:i/>
      <w:iCs/>
      <w:color w:val="404040" w:themeColor="text1" w:themeTint="BF"/>
    </w:rPr>
  </w:style>
  <w:style w:type="paragraph" w:styleId="ListParagraph">
    <w:name w:val="List Paragraph"/>
    <w:basedOn w:val="Normal"/>
    <w:uiPriority w:val="34"/>
    <w:qFormat/>
    <w:rsid w:val="004D34C0"/>
    <w:pPr>
      <w:ind w:left="720"/>
      <w:contextualSpacing/>
    </w:pPr>
  </w:style>
  <w:style w:type="character" w:styleId="IntenseEmphasis">
    <w:name w:val="Intense Emphasis"/>
    <w:basedOn w:val="DefaultParagraphFont"/>
    <w:uiPriority w:val="21"/>
    <w:qFormat/>
    <w:rsid w:val="004D34C0"/>
    <w:rPr>
      <w:i/>
      <w:iCs/>
      <w:color w:val="0F4761" w:themeColor="accent1" w:themeShade="BF"/>
    </w:rPr>
  </w:style>
  <w:style w:type="paragraph" w:styleId="IntenseQuote">
    <w:name w:val="Intense Quote"/>
    <w:basedOn w:val="Normal"/>
    <w:next w:val="Normal"/>
    <w:link w:val="IntenseQuoteChar"/>
    <w:uiPriority w:val="30"/>
    <w:qFormat/>
    <w:rsid w:val="004D3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4C0"/>
    <w:rPr>
      <w:i/>
      <w:iCs/>
      <w:color w:val="0F4761" w:themeColor="accent1" w:themeShade="BF"/>
    </w:rPr>
  </w:style>
  <w:style w:type="character" w:styleId="IntenseReference">
    <w:name w:val="Intense Reference"/>
    <w:basedOn w:val="DefaultParagraphFont"/>
    <w:uiPriority w:val="32"/>
    <w:qFormat/>
    <w:rsid w:val="004D34C0"/>
    <w:rPr>
      <w:b/>
      <w:bCs/>
      <w:smallCaps/>
      <w:color w:val="0F4761" w:themeColor="accent1" w:themeShade="BF"/>
      <w:spacing w:val="5"/>
    </w:rPr>
  </w:style>
  <w:style w:type="table" w:styleId="TableGrid">
    <w:name w:val="Table Grid"/>
    <w:basedOn w:val="TableNormal"/>
    <w:uiPriority w:val="39"/>
    <w:rsid w:val="004D3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C4C4C1DA38294B84F76D07B3746DEA" ma:contentTypeVersion="15" ma:contentTypeDescription="Create a new document." ma:contentTypeScope="" ma:versionID="f6ca8e13287444ae8acff2cc1384e752">
  <xsd:schema xmlns:xsd="http://www.w3.org/2001/XMLSchema" xmlns:xs="http://www.w3.org/2001/XMLSchema" xmlns:p="http://schemas.microsoft.com/office/2006/metadata/properties" xmlns:ns2="52d95047-95ae-4743-9064-d21427f62d87" xmlns:ns3="c163a221-45a8-4623-9e88-0468a7677b62" targetNamespace="http://schemas.microsoft.com/office/2006/metadata/properties" ma:root="true" ma:fieldsID="33c860b4f2431478b6f0530f4cfae81d" ns2:_="" ns3:_="">
    <xsd:import namespace="52d95047-95ae-4743-9064-d21427f62d87"/>
    <xsd:import namespace="c163a221-45a8-4623-9e88-0468a7677b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95047-95ae-4743-9064-d21427f62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949e39-230a-49ec-a9ca-b9efecda8e5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63a221-45a8-4623-9e88-0468a7677b6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7024d12-9d66-4a79-b5fe-3e818bcb63b3}" ma:internalName="TaxCatchAll" ma:showField="CatchAllData" ma:web="c163a221-45a8-4623-9e88-0468a7677b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d95047-95ae-4743-9064-d21427f62d87">
      <Terms xmlns="http://schemas.microsoft.com/office/infopath/2007/PartnerControls"/>
    </lcf76f155ced4ddcb4097134ff3c332f>
    <TaxCatchAll xmlns="c163a221-45a8-4623-9e88-0468a7677b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35283-5E86-4BF6-AD6C-5CD568619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95047-95ae-4743-9064-d21427f62d87"/>
    <ds:schemaRef ds:uri="c163a221-45a8-4623-9e88-0468a7677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316EA-F7BD-45A3-9ADE-189EDD1D8AA9}">
  <ds:schemaRefs>
    <ds:schemaRef ds:uri="http://schemas.microsoft.com/office/2006/metadata/properties"/>
    <ds:schemaRef ds:uri="http://schemas.microsoft.com/office/infopath/2007/PartnerControls"/>
    <ds:schemaRef ds:uri="52d95047-95ae-4743-9064-d21427f62d87"/>
    <ds:schemaRef ds:uri="c163a221-45a8-4623-9e88-0468a7677b62"/>
  </ds:schemaRefs>
</ds:datastoreItem>
</file>

<file path=customXml/itemProps3.xml><?xml version="1.0" encoding="utf-8"?>
<ds:datastoreItem xmlns:ds="http://schemas.openxmlformats.org/officeDocument/2006/customXml" ds:itemID="{B153DF91-DCF9-4C1E-8442-2C8CDD260A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Words>
  <Characters>254</Characters>
  <Application>Microsoft Office Word</Application>
  <DocSecurity>0</DocSecurity>
  <Lines>84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Jackson</dc:creator>
  <cp:keywords/>
  <dc:description/>
  <cp:lastModifiedBy>Ben Jackson</cp:lastModifiedBy>
  <cp:revision>2</cp:revision>
  <dcterms:created xsi:type="dcterms:W3CDTF">2026-01-15T21:49:00Z</dcterms:created>
  <dcterms:modified xsi:type="dcterms:W3CDTF">2026-01-15T21:49:00Z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0x0101005FC4C4C1DA38294B84F76D07B3746DEA</vt:lpwstr>
  </property>
  <property fmtid="{D5CDD505-2E9C-101B-9397-08002B2CF9AE}" pid="3" name="MediaServiceImageTags">
    <vt:lpwstr/>
  </property>
</Properties>
</file>