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2944" w14:textId="77777777" w:rsidR="00873889" w:rsidRPr="00873889" w:rsidRDefault="00873889" w:rsidP="00FD67F6">
      <w:pPr>
        <w:jc w:val="both"/>
      </w:pPr>
      <w:r w:rsidRPr="00873889">
        <w:rPr>
          <w:noProof/>
        </w:rPr>
        <w:drawing>
          <wp:inline distT="0" distB="0" distL="0" distR="0" wp14:anchorId="36433DB3" wp14:editId="4CA2CD66">
            <wp:extent cx="5943600" cy="3348355"/>
            <wp:effectExtent l="0" t="0" r="0" b="4445"/>
            <wp:docPr id="805293160" name="Picture 4" descr="by: Miles Dan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679" descr="by: Miles Daniel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6A885663" w14:textId="77777777" w:rsidR="00FD67F6" w:rsidRPr="00873889" w:rsidRDefault="00FD67F6" w:rsidP="00FD67F6">
      <w:pPr>
        <w:jc w:val="both"/>
      </w:pPr>
    </w:p>
    <w:p w14:paraId="09150E70" w14:textId="399CBEC0" w:rsidR="00873889" w:rsidRDefault="00873889" w:rsidP="00FD67F6">
      <w:pPr>
        <w:jc w:val="center"/>
        <w:rPr>
          <w:b/>
          <w:bCs/>
        </w:rPr>
      </w:pPr>
      <w:r w:rsidRPr="00873889">
        <w:rPr>
          <w:b/>
          <w:bCs/>
        </w:rPr>
        <w:t xml:space="preserve">Compliance Alchemy: </w:t>
      </w:r>
      <w:r w:rsidR="00FD67F6">
        <w:rPr>
          <w:b/>
          <w:bCs/>
        </w:rPr>
        <w:t>Transforming</w:t>
      </w:r>
      <w:r w:rsidRPr="00873889">
        <w:rPr>
          <w:b/>
          <w:bCs/>
        </w:rPr>
        <w:t xml:space="preserve"> Regulatory Compliance Data into Gold</w:t>
      </w:r>
    </w:p>
    <w:p w14:paraId="3D8E330A" w14:textId="77777777" w:rsidR="00FD67F6" w:rsidRDefault="00FD67F6" w:rsidP="00FD67F6">
      <w:pPr>
        <w:jc w:val="center"/>
      </w:pPr>
      <w:r w:rsidRPr="00873889">
        <w:t>by: Miles Daniel</w:t>
      </w:r>
    </w:p>
    <w:p w14:paraId="7EAEA34B" w14:textId="2CB44771" w:rsidR="00873889" w:rsidRPr="00873889" w:rsidRDefault="00873889" w:rsidP="00FD67F6">
      <w:pPr>
        <w:jc w:val="center"/>
      </w:pPr>
      <w:r w:rsidRPr="00873889">
        <w:t>February 17, 2025</w:t>
      </w:r>
    </w:p>
    <w:p w14:paraId="6BAD8C96" w14:textId="77777777" w:rsidR="00FD67F6" w:rsidRDefault="00FD67F6" w:rsidP="00FD67F6">
      <w:pPr>
        <w:jc w:val="both"/>
      </w:pPr>
    </w:p>
    <w:p w14:paraId="0CBB8011" w14:textId="1348D204" w:rsidR="00873889" w:rsidRPr="00873889" w:rsidRDefault="00873889" w:rsidP="00FD67F6">
      <w:pPr>
        <w:jc w:val="both"/>
      </w:pPr>
      <w:r w:rsidRPr="00873889">
        <w:t>For decades, regulatory compliance has been viewed as a necessary but costly function within financial institutions. However, advancements in Regulatory Technology (</w:t>
      </w:r>
      <w:r w:rsidR="00FD67F6">
        <w:t>“</w:t>
      </w:r>
      <w:proofErr w:type="spellStart"/>
      <w:r w:rsidRPr="00873889">
        <w:t>RegTech</w:t>
      </w:r>
      <w:proofErr w:type="spellEnd"/>
      <w:r w:rsidR="00FD67F6">
        <w:t>”</w:t>
      </w:r>
      <w:r w:rsidRPr="00873889">
        <w:t xml:space="preserve">) have transformed compliance into a strategic asset that drives revenue and competitive advantage. Today, forward-thinking institutions are monetizing compliance data in two </w:t>
      </w:r>
      <w:r w:rsidR="00FD67F6">
        <w:t xml:space="preserve">critical </w:t>
      </w:r>
      <w:r w:rsidRPr="00873889">
        <w:t>ways:</w:t>
      </w:r>
    </w:p>
    <w:p w14:paraId="102CBD8F" w14:textId="77777777" w:rsidR="00873889" w:rsidRPr="00873889" w:rsidRDefault="00873889" w:rsidP="00FD67F6">
      <w:pPr>
        <w:jc w:val="both"/>
      </w:pPr>
      <w:r w:rsidRPr="00873889">
        <w:t>1.      Leveraging data internally to optimize operations, enhance risk management, and expand into new markets.</w:t>
      </w:r>
    </w:p>
    <w:p w14:paraId="1F70BEF7" w14:textId="77777777" w:rsidR="00873889" w:rsidRPr="00873889" w:rsidRDefault="00873889" w:rsidP="00FD67F6">
      <w:pPr>
        <w:jc w:val="both"/>
      </w:pPr>
      <w:r w:rsidRPr="00873889">
        <w:t>2.      Commercializing anonymized compliance data to generate new revenue streams through insights, risk-based pricing, and benchmarking.</w:t>
      </w:r>
    </w:p>
    <w:p w14:paraId="435ABD0E" w14:textId="77777777" w:rsidR="00873889" w:rsidRPr="00873889" w:rsidRDefault="00873889" w:rsidP="00FD67F6">
      <w:pPr>
        <w:jc w:val="both"/>
      </w:pPr>
      <w:r w:rsidRPr="00873889">
        <w:t xml:space="preserve"> </w:t>
      </w:r>
    </w:p>
    <w:p w14:paraId="0B13AC30" w14:textId="77777777" w:rsidR="00873889" w:rsidRPr="00873889" w:rsidRDefault="00873889" w:rsidP="00FD67F6">
      <w:pPr>
        <w:jc w:val="both"/>
      </w:pPr>
      <w:r w:rsidRPr="00873889">
        <w:t>Regulatory compliance no longer needs to be a cost center.  It can become a profit driver when properly operationalized.  Consider the following strategic approaches to monetizing compliance:</w:t>
      </w:r>
    </w:p>
    <w:p w14:paraId="0CC168B6" w14:textId="77777777" w:rsidR="00873889" w:rsidRPr="00873889" w:rsidRDefault="00873889" w:rsidP="00FD67F6">
      <w:pPr>
        <w:jc w:val="both"/>
      </w:pPr>
      <w:r w:rsidRPr="00873889">
        <w:t xml:space="preserve"> </w:t>
      </w:r>
    </w:p>
    <w:p w14:paraId="72DAB53A" w14:textId="77777777" w:rsidR="00873889" w:rsidRPr="00873889" w:rsidRDefault="00873889" w:rsidP="00FD67F6">
      <w:pPr>
        <w:jc w:val="both"/>
      </w:pPr>
      <w:proofErr w:type="spellStart"/>
      <w:r w:rsidRPr="00873889">
        <w:rPr>
          <w:b/>
          <w:bCs/>
        </w:rPr>
        <w:lastRenderedPageBreak/>
        <w:t>RegTech</w:t>
      </w:r>
      <w:proofErr w:type="spellEnd"/>
      <w:r w:rsidRPr="00873889">
        <w:rPr>
          <w:b/>
          <w:bCs/>
        </w:rPr>
        <w:t xml:space="preserve"> Partnerships &amp; Data-Driven Compliance Solutions</w:t>
      </w:r>
    </w:p>
    <w:p w14:paraId="4B676B3B" w14:textId="77777777" w:rsidR="00873889" w:rsidRPr="00873889" w:rsidRDefault="00873889" w:rsidP="00FD67F6">
      <w:pPr>
        <w:jc w:val="both"/>
      </w:pPr>
      <w:r w:rsidRPr="00873889">
        <w:t>Modern compliance solutions enable financial institutions to license technology, commercialize analytics, and offer compliance-as-a-service (CaaS).</w:t>
      </w:r>
    </w:p>
    <w:p w14:paraId="59898555" w14:textId="6F7B82CE" w:rsidR="00873889" w:rsidRPr="00873889" w:rsidRDefault="00873889" w:rsidP="00FD67F6">
      <w:pPr>
        <w:pStyle w:val="ListParagraph"/>
        <w:numPr>
          <w:ilvl w:val="0"/>
          <w:numId w:val="5"/>
        </w:numPr>
        <w:jc w:val="both"/>
      </w:pPr>
      <w:r w:rsidRPr="00873889">
        <w:t>Revenue Impact: Institutions can generate income by licensing proprietary compliance tools or selling access to data-driven compliance platforms that optimize risk management.</w:t>
      </w:r>
    </w:p>
    <w:p w14:paraId="0BCCF1FD" w14:textId="77777777" w:rsidR="00873889" w:rsidRPr="00873889" w:rsidRDefault="00873889" w:rsidP="00FD67F6">
      <w:pPr>
        <w:jc w:val="both"/>
      </w:pPr>
      <w:r w:rsidRPr="00873889">
        <w:t xml:space="preserve"> </w:t>
      </w:r>
    </w:p>
    <w:p w14:paraId="506C1DCC" w14:textId="77777777" w:rsidR="00873889" w:rsidRPr="00873889" w:rsidRDefault="00873889" w:rsidP="00FD67F6">
      <w:pPr>
        <w:jc w:val="both"/>
      </w:pPr>
      <w:r w:rsidRPr="00873889">
        <w:rPr>
          <w:b/>
          <w:bCs/>
        </w:rPr>
        <w:t>Risk-Driven Product Innovation &amp; Dynamic Pricing Models</w:t>
      </w:r>
    </w:p>
    <w:p w14:paraId="5EBFFF5D" w14:textId="77777777" w:rsidR="00873889" w:rsidRPr="00873889" w:rsidRDefault="00873889" w:rsidP="00FD67F6">
      <w:pPr>
        <w:jc w:val="both"/>
      </w:pPr>
      <w:r w:rsidRPr="00873889">
        <w:t>By integrating real-time regulatory risk monitoring, financial institutions can develop dynamic, risk-based pricing for loans, insurance, and investment products. Embedded finance solutions can be designed to automatically comply with regulations, ensuring efficiency while enhancing ESG-aligned investment offerings.</w:t>
      </w:r>
    </w:p>
    <w:p w14:paraId="06B46DFA" w14:textId="58210CCB" w:rsidR="00873889" w:rsidRPr="00873889" w:rsidRDefault="00873889" w:rsidP="00FD67F6">
      <w:pPr>
        <w:pStyle w:val="ListParagraph"/>
        <w:numPr>
          <w:ilvl w:val="0"/>
          <w:numId w:val="4"/>
        </w:numPr>
        <w:jc w:val="both"/>
      </w:pPr>
      <w:r w:rsidRPr="00873889">
        <w:t>Revenue Impact: New financial products attract high-value customers, institutional investors, and ESG-conscious clients, driving premium revenue.</w:t>
      </w:r>
    </w:p>
    <w:p w14:paraId="52EBC578" w14:textId="77777777" w:rsidR="00873889" w:rsidRPr="00873889" w:rsidRDefault="00873889" w:rsidP="00FD67F6">
      <w:pPr>
        <w:jc w:val="both"/>
      </w:pPr>
      <w:r w:rsidRPr="00873889">
        <w:t xml:space="preserve"> </w:t>
      </w:r>
    </w:p>
    <w:p w14:paraId="3A036888" w14:textId="77777777" w:rsidR="00873889" w:rsidRPr="00873889" w:rsidRDefault="00873889" w:rsidP="00FD67F6">
      <w:pPr>
        <w:jc w:val="both"/>
      </w:pPr>
      <w:r w:rsidRPr="00873889">
        <w:rPr>
          <w:b/>
          <w:bCs/>
        </w:rPr>
        <w:t>Commercializing Compliance Data &amp; Benchmarking</w:t>
      </w:r>
    </w:p>
    <w:p w14:paraId="2FCDFE60" w14:textId="77777777" w:rsidR="00873889" w:rsidRPr="00873889" w:rsidRDefault="00873889" w:rsidP="00FD67F6">
      <w:pPr>
        <w:jc w:val="both"/>
      </w:pPr>
      <w:r w:rsidRPr="00873889">
        <w:t>Financial institutions collect vast amounts of transactional and regulatory data that, when anonymized and aggregated, hold significant market intelligence value for external stakeholders. Two ways in which these can become profit centers include:</w:t>
      </w:r>
    </w:p>
    <w:p w14:paraId="0CA481F8" w14:textId="245CCABD" w:rsidR="00873889" w:rsidRPr="00873889" w:rsidRDefault="00873889" w:rsidP="00FD67F6">
      <w:pPr>
        <w:pStyle w:val="ListParagraph"/>
        <w:numPr>
          <w:ilvl w:val="0"/>
          <w:numId w:val="3"/>
        </w:numPr>
        <w:jc w:val="both"/>
      </w:pPr>
      <w:r w:rsidRPr="00FD67F6">
        <w:rPr>
          <w:i/>
          <w:iCs/>
        </w:rPr>
        <w:t>Data-as-a-Service (DaaS):</w:t>
      </w:r>
      <w:r w:rsidRPr="00873889">
        <w:t xml:space="preserve"> Banks and financial institutions can sell structured, anonymized data for industry benchmarks, risk detection insights, and regulatory forecasting.</w:t>
      </w:r>
    </w:p>
    <w:p w14:paraId="1E1AB973" w14:textId="32541CF3" w:rsidR="00873889" w:rsidRPr="00873889" w:rsidRDefault="00873889" w:rsidP="00FD67F6">
      <w:pPr>
        <w:pStyle w:val="ListParagraph"/>
        <w:numPr>
          <w:ilvl w:val="0"/>
          <w:numId w:val="3"/>
        </w:numPr>
        <w:jc w:val="both"/>
      </w:pPr>
      <w:r w:rsidRPr="00FD67F6">
        <w:rPr>
          <w:i/>
          <w:iCs/>
        </w:rPr>
        <w:t>Compliance-as-a-Service (CaaS):</w:t>
      </w:r>
      <w:r w:rsidRPr="00873889">
        <w:t xml:space="preserve"> AI-powered analytics can be offered to smaller firms, enabling them to access compliance insights and risk-based pricing models for credit scoring, loan pricing, and financial planning.</w:t>
      </w:r>
    </w:p>
    <w:p w14:paraId="024926A8" w14:textId="28C9D034" w:rsidR="00873889" w:rsidRPr="00873889" w:rsidRDefault="00873889" w:rsidP="00FD67F6">
      <w:pPr>
        <w:pStyle w:val="ListParagraph"/>
        <w:numPr>
          <w:ilvl w:val="0"/>
          <w:numId w:val="3"/>
        </w:numPr>
        <w:jc w:val="both"/>
      </w:pPr>
      <w:r w:rsidRPr="00873889">
        <w:t>Revenue Impact: By offering compliance insights to asset managers, risk officers, and corporate governance professionals, institutions unlock new data-driven revenue streams.</w:t>
      </w:r>
    </w:p>
    <w:p w14:paraId="4B5C9F25" w14:textId="77777777" w:rsidR="00873889" w:rsidRPr="00873889" w:rsidRDefault="00873889" w:rsidP="00FD67F6">
      <w:pPr>
        <w:jc w:val="both"/>
      </w:pPr>
      <w:r w:rsidRPr="00873889">
        <w:t xml:space="preserve"> </w:t>
      </w:r>
    </w:p>
    <w:p w14:paraId="3B523D6A" w14:textId="77777777" w:rsidR="00873889" w:rsidRPr="00873889" w:rsidRDefault="00873889" w:rsidP="00FD67F6">
      <w:pPr>
        <w:jc w:val="both"/>
      </w:pPr>
      <w:r w:rsidRPr="00873889">
        <w:rPr>
          <w:b/>
          <w:bCs/>
        </w:rPr>
        <w:t>Enhanced Risk &amp; Compliance Modeling</w:t>
      </w:r>
    </w:p>
    <w:p w14:paraId="5D0AD65C" w14:textId="77777777" w:rsidR="00873889" w:rsidRPr="00873889" w:rsidRDefault="00873889" w:rsidP="00FD67F6">
      <w:pPr>
        <w:jc w:val="both"/>
      </w:pPr>
      <w:r w:rsidRPr="00873889">
        <w:t>Institutions can leverage regulatory data to develop predictive models for non-compliance, fraud detection, anti-money laundering (AML), and Know Your Customer (KYC) processes.</w:t>
      </w:r>
    </w:p>
    <w:p w14:paraId="03CE72DF" w14:textId="4D4EA7FC" w:rsidR="00873889" w:rsidRPr="00873889" w:rsidRDefault="00873889" w:rsidP="00FD67F6">
      <w:pPr>
        <w:pStyle w:val="ListParagraph"/>
        <w:numPr>
          <w:ilvl w:val="0"/>
          <w:numId w:val="6"/>
        </w:numPr>
        <w:jc w:val="both"/>
      </w:pPr>
      <w:r w:rsidRPr="00873889">
        <w:lastRenderedPageBreak/>
        <w:t>Revenue Impact: By offering these risk modeling tools as premium services, financial institutions can monetize their compliance expertise while helping smaller firms manage regulatory risk efficiently.</w:t>
      </w:r>
    </w:p>
    <w:p w14:paraId="22199A9F" w14:textId="77777777" w:rsidR="00873889" w:rsidRPr="00873889" w:rsidRDefault="00873889" w:rsidP="00FD67F6">
      <w:pPr>
        <w:jc w:val="both"/>
      </w:pPr>
      <w:r w:rsidRPr="00873889">
        <w:t xml:space="preserve"> </w:t>
      </w:r>
    </w:p>
    <w:p w14:paraId="4B4D95C9" w14:textId="77777777" w:rsidR="00873889" w:rsidRPr="00873889" w:rsidRDefault="00873889" w:rsidP="00FD67F6">
      <w:pPr>
        <w:jc w:val="both"/>
      </w:pPr>
      <w:r w:rsidRPr="00873889">
        <w:t xml:space="preserve">Integrating </w:t>
      </w:r>
      <w:proofErr w:type="spellStart"/>
      <w:r w:rsidRPr="00873889">
        <w:t>RegTech</w:t>
      </w:r>
      <w:proofErr w:type="spellEnd"/>
      <w:r w:rsidRPr="00873889">
        <w:t>, data analytics, and strategic partnerships, financial institutions can reduce compliance costs, enhance risk management, and unlock entirely new revenue streams.  Executive Leadership can do far more with compliance than just meet regulatory obligations. Reframing compliance as a strategic, data centric opportunity to drive sustainable financial growth can be achieved by:</w:t>
      </w:r>
    </w:p>
    <w:p w14:paraId="7A78198E" w14:textId="78795279" w:rsidR="00873889" w:rsidRPr="00873889" w:rsidRDefault="00873889" w:rsidP="00FD67F6">
      <w:pPr>
        <w:pStyle w:val="ListParagraph"/>
        <w:numPr>
          <w:ilvl w:val="0"/>
          <w:numId w:val="6"/>
        </w:numPr>
        <w:jc w:val="both"/>
      </w:pPr>
      <w:r w:rsidRPr="00FD67F6">
        <w:rPr>
          <w:i/>
          <w:iCs/>
        </w:rPr>
        <w:t xml:space="preserve">Assessing Your Compliance Data Strategy: </w:t>
      </w:r>
      <w:r w:rsidRPr="00873889">
        <w:t>Identify opportunities to optimize, monetize, and commercialize your regulatory data.</w:t>
      </w:r>
    </w:p>
    <w:p w14:paraId="6C795F1C" w14:textId="2D76074C" w:rsidR="00873889" w:rsidRPr="00873889" w:rsidRDefault="00873889" w:rsidP="00FD67F6">
      <w:pPr>
        <w:pStyle w:val="ListParagraph"/>
        <w:numPr>
          <w:ilvl w:val="0"/>
          <w:numId w:val="6"/>
        </w:numPr>
        <w:jc w:val="both"/>
      </w:pPr>
      <w:r w:rsidRPr="00FD67F6">
        <w:rPr>
          <w:i/>
          <w:iCs/>
        </w:rPr>
        <w:t xml:space="preserve">Engaging in </w:t>
      </w:r>
      <w:proofErr w:type="spellStart"/>
      <w:r w:rsidRPr="00FD67F6">
        <w:rPr>
          <w:i/>
          <w:iCs/>
        </w:rPr>
        <w:t>RegTech</w:t>
      </w:r>
      <w:proofErr w:type="spellEnd"/>
      <w:r w:rsidRPr="00FD67F6">
        <w:rPr>
          <w:i/>
          <w:iCs/>
        </w:rPr>
        <w:t xml:space="preserve"> Partnerships: </w:t>
      </w:r>
      <w:r w:rsidRPr="00873889">
        <w:t>Explore technology solutions that enhance compliance efficiency while generating new revenue streams.</w:t>
      </w:r>
    </w:p>
    <w:p w14:paraId="07429F33" w14:textId="49EDCF2F" w:rsidR="00873889" w:rsidRPr="00873889" w:rsidRDefault="00873889" w:rsidP="00FD67F6">
      <w:pPr>
        <w:pStyle w:val="ListParagraph"/>
        <w:numPr>
          <w:ilvl w:val="0"/>
          <w:numId w:val="6"/>
        </w:numPr>
        <w:jc w:val="both"/>
      </w:pPr>
      <w:r w:rsidRPr="00FD67F6">
        <w:rPr>
          <w:i/>
          <w:iCs/>
        </w:rPr>
        <w:t xml:space="preserve">Developing Monetization Models: </w:t>
      </w:r>
      <w:r w:rsidRPr="00873889">
        <w:t>Implement Data-as-a-Service (DaaS) or Compliance-as-a-Service (CaaS) to generate additional income from compliance insights.</w:t>
      </w:r>
    </w:p>
    <w:p w14:paraId="21E21BE8" w14:textId="190CD36E" w:rsidR="00873889" w:rsidRPr="00873889" w:rsidRDefault="00873889" w:rsidP="00FD67F6">
      <w:pPr>
        <w:pStyle w:val="ListParagraph"/>
        <w:numPr>
          <w:ilvl w:val="0"/>
          <w:numId w:val="6"/>
        </w:numPr>
        <w:jc w:val="both"/>
      </w:pPr>
      <w:r w:rsidRPr="00FD67F6">
        <w:rPr>
          <w:i/>
          <w:iCs/>
        </w:rPr>
        <w:t xml:space="preserve">Leveraging Predictive Analytics: </w:t>
      </w:r>
      <w:r w:rsidRPr="00873889">
        <w:t>Utilize AI-driven compliance and risk models to improve decision-making and pricing strategies.</w:t>
      </w:r>
    </w:p>
    <w:p w14:paraId="7A55457B" w14:textId="2BA72310" w:rsidR="00873889" w:rsidRPr="00873889" w:rsidRDefault="00873889" w:rsidP="00FD67F6">
      <w:pPr>
        <w:pStyle w:val="ListParagraph"/>
        <w:numPr>
          <w:ilvl w:val="0"/>
          <w:numId w:val="6"/>
        </w:numPr>
        <w:jc w:val="both"/>
      </w:pPr>
      <w:r w:rsidRPr="00FD67F6">
        <w:rPr>
          <w:i/>
          <w:iCs/>
        </w:rPr>
        <w:t xml:space="preserve">Positioning Your Institution as an Industry Leader: </w:t>
      </w:r>
      <w:r w:rsidRPr="00873889">
        <w:t>Stay ahead of the curve by adopting a compliance monetization strategy that enhances financial performance.</w:t>
      </w:r>
    </w:p>
    <w:p w14:paraId="34577459" w14:textId="77777777" w:rsidR="00873889" w:rsidRPr="00873889" w:rsidRDefault="00873889" w:rsidP="00FD67F6">
      <w:pPr>
        <w:jc w:val="both"/>
      </w:pPr>
      <w:r w:rsidRPr="00873889">
        <w:t xml:space="preserve"> </w:t>
      </w:r>
    </w:p>
    <w:p w14:paraId="1A174D21" w14:textId="77777777" w:rsidR="00873889" w:rsidRPr="00873889" w:rsidRDefault="00873889" w:rsidP="00FD67F6">
      <w:pPr>
        <w:jc w:val="both"/>
      </w:pPr>
      <w:r w:rsidRPr="00873889">
        <w:t>Don’t let regulatory compliance remain a cost center. The institutions that move first will gain a competitive edge, stronger financial returns on decades of compliance investment, and new business opportunities in an increasingly data-driven world.  Act Now to Unlock the Hidden Value of Compliance!</w:t>
      </w:r>
    </w:p>
    <w:p w14:paraId="0AF6B9D1" w14:textId="77777777" w:rsidR="00555F03" w:rsidRDefault="00555F03" w:rsidP="00FD67F6">
      <w:pPr>
        <w:jc w:val="both"/>
      </w:pPr>
    </w:p>
    <w:sectPr w:rsidR="00555F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01196"/>
    <w:multiLevelType w:val="hybridMultilevel"/>
    <w:tmpl w:val="BAA00614"/>
    <w:lvl w:ilvl="0" w:tplc="F6C43F1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2B6090"/>
    <w:multiLevelType w:val="hybridMultilevel"/>
    <w:tmpl w:val="67267E12"/>
    <w:lvl w:ilvl="0" w:tplc="F6C43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325090"/>
    <w:multiLevelType w:val="hybridMultilevel"/>
    <w:tmpl w:val="4300CDFC"/>
    <w:lvl w:ilvl="0" w:tplc="F6C43F12">
      <w:numFmt w:val="bullet"/>
      <w:lvlText w:val="·"/>
      <w:lvlJc w:val="left"/>
      <w:pPr>
        <w:ind w:left="720" w:hanging="360"/>
      </w:pPr>
      <w:rPr>
        <w:rFonts w:ascii="Calibri" w:eastAsiaTheme="minorHAnsi" w:hAnsi="Calibri" w:cs="Calibri" w:hint="default"/>
      </w:rPr>
    </w:lvl>
    <w:lvl w:ilvl="1" w:tplc="BEA69066">
      <w:numFmt w:val="bullet"/>
      <w:lvlText w:val=""/>
      <w:lvlJc w:val="left"/>
      <w:pPr>
        <w:ind w:left="1440" w:hanging="36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141B71"/>
    <w:multiLevelType w:val="hybridMultilevel"/>
    <w:tmpl w:val="F46EA5A8"/>
    <w:lvl w:ilvl="0" w:tplc="F6C43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5F3853"/>
    <w:multiLevelType w:val="hybridMultilevel"/>
    <w:tmpl w:val="F98C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3E4833"/>
    <w:multiLevelType w:val="hybridMultilevel"/>
    <w:tmpl w:val="32ECEE50"/>
    <w:lvl w:ilvl="0" w:tplc="F6C43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7876145">
    <w:abstractNumId w:val="4"/>
  </w:num>
  <w:num w:numId="2" w16cid:durableId="2108308012">
    <w:abstractNumId w:val="2"/>
  </w:num>
  <w:num w:numId="3" w16cid:durableId="937641274">
    <w:abstractNumId w:val="0"/>
  </w:num>
  <w:num w:numId="4" w16cid:durableId="1329093812">
    <w:abstractNumId w:val="1"/>
  </w:num>
  <w:num w:numId="5" w16cid:durableId="2082174598">
    <w:abstractNumId w:val="3"/>
  </w:num>
  <w:num w:numId="6" w16cid:durableId="7952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89"/>
    <w:rsid w:val="00013D46"/>
    <w:rsid w:val="00077B65"/>
    <w:rsid w:val="00081113"/>
    <w:rsid w:val="004B1AED"/>
    <w:rsid w:val="004D2728"/>
    <w:rsid w:val="00555F03"/>
    <w:rsid w:val="005A336A"/>
    <w:rsid w:val="006629C8"/>
    <w:rsid w:val="006E27CD"/>
    <w:rsid w:val="006F1F1F"/>
    <w:rsid w:val="007170A0"/>
    <w:rsid w:val="00765D13"/>
    <w:rsid w:val="008254A5"/>
    <w:rsid w:val="00873889"/>
    <w:rsid w:val="009116E0"/>
    <w:rsid w:val="00A71BDA"/>
    <w:rsid w:val="00AF1A8C"/>
    <w:rsid w:val="00AF2969"/>
    <w:rsid w:val="00B34D34"/>
    <w:rsid w:val="00C42621"/>
    <w:rsid w:val="00D715EE"/>
    <w:rsid w:val="00F31E5E"/>
    <w:rsid w:val="00F35011"/>
    <w:rsid w:val="00FD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3093"/>
  <w15:chartTrackingRefBased/>
  <w15:docId w15:val="{D7DE0C2A-6BCC-473F-80B3-0EB5CAAD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8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38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388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38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7388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738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388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388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388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8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38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388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388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7388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7388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388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388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388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38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8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388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388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3889"/>
    <w:pPr>
      <w:spacing w:before="160"/>
      <w:jc w:val="center"/>
    </w:pPr>
    <w:rPr>
      <w:i/>
      <w:iCs/>
      <w:color w:val="404040" w:themeColor="text1" w:themeTint="BF"/>
    </w:rPr>
  </w:style>
  <w:style w:type="character" w:customStyle="1" w:styleId="QuoteChar">
    <w:name w:val="Quote Char"/>
    <w:basedOn w:val="DefaultParagraphFont"/>
    <w:link w:val="Quote"/>
    <w:uiPriority w:val="29"/>
    <w:rsid w:val="00873889"/>
    <w:rPr>
      <w:i/>
      <w:iCs/>
      <w:color w:val="404040" w:themeColor="text1" w:themeTint="BF"/>
    </w:rPr>
  </w:style>
  <w:style w:type="paragraph" w:styleId="ListParagraph">
    <w:name w:val="List Paragraph"/>
    <w:basedOn w:val="Normal"/>
    <w:uiPriority w:val="34"/>
    <w:qFormat/>
    <w:rsid w:val="00873889"/>
    <w:pPr>
      <w:ind w:left="720"/>
      <w:contextualSpacing/>
    </w:pPr>
  </w:style>
  <w:style w:type="character" w:styleId="IntenseEmphasis">
    <w:name w:val="Intense Emphasis"/>
    <w:basedOn w:val="DefaultParagraphFont"/>
    <w:uiPriority w:val="21"/>
    <w:qFormat/>
    <w:rsid w:val="00873889"/>
    <w:rPr>
      <w:i/>
      <w:iCs/>
      <w:color w:val="0F4761" w:themeColor="accent1" w:themeShade="BF"/>
    </w:rPr>
  </w:style>
  <w:style w:type="paragraph" w:styleId="IntenseQuote">
    <w:name w:val="Intense Quote"/>
    <w:basedOn w:val="Normal"/>
    <w:next w:val="Normal"/>
    <w:link w:val="IntenseQuoteChar"/>
    <w:uiPriority w:val="30"/>
    <w:qFormat/>
    <w:rsid w:val="008738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3889"/>
    <w:rPr>
      <w:i/>
      <w:iCs/>
      <w:color w:val="0F4761" w:themeColor="accent1" w:themeShade="BF"/>
    </w:rPr>
  </w:style>
  <w:style w:type="character" w:styleId="IntenseReference">
    <w:name w:val="Intense Reference"/>
    <w:basedOn w:val="DefaultParagraphFont"/>
    <w:uiPriority w:val="32"/>
    <w:qFormat/>
    <w:rsid w:val="00873889"/>
    <w:rPr>
      <w:b/>
      <w:bCs/>
      <w:smallCaps/>
      <w:color w:val="0F4761" w:themeColor="accent1" w:themeShade="BF"/>
      <w:spacing w:val="5"/>
    </w:rPr>
  </w:style>
  <w:style w:type="character" w:styleId="Hyperlink">
    <w:name w:val="Hyperlink"/>
    <w:basedOn w:val="DefaultParagraphFont"/>
    <w:uiPriority w:val="99"/>
    <w:unhideWhenUsed/>
    <w:rsid w:val="00873889"/>
    <w:rPr>
      <w:color w:val="467886" w:themeColor="hyperlink"/>
      <w:u w:val="single"/>
    </w:rPr>
  </w:style>
  <w:style w:type="character" w:styleId="UnresolvedMention">
    <w:name w:val="Unresolved Mention"/>
    <w:basedOn w:val="DefaultParagraphFont"/>
    <w:uiPriority w:val="99"/>
    <w:semiHidden/>
    <w:unhideWhenUsed/>
    <w:rsid w:val="00873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3940</Characters>
  <Application>Microsoft Office Word</Application>
  <DocSecurity>0</DocSecurity>
  <Lines>74</Lines>
  <Paragraphs>32</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Daniel</dc:creator>
  <cp:keywords/>
  <dc:description/>
  <cp:lastModifiedBy>Miles Daniel</cp:lastModifiedBy>
  <cp:revision>2</cp:revision>
  <dcterms:created xsi:type="dcterms:W3CDTF">2026-04-01T21:20:00Z</dcterms:created>
  <dcterms:modified xsi:type="dcterms:W3CDTF">2026-05-06T18:36:00Z</dcterms:modified>
</cp:coreProperties>
</file>