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C8" w:rsidRDefault="009B7EBB">
      <w:r>
        <w:t>Susceptible subpopulations acknowledged by the National Research Council as being especially vulnerable to harm from fluoride ingestion (start at bottom of page, then scroll to next page):</w:t>
      </w:r>
    </w:p>
    <w:p w:rsidR="009B7EBB" w:rsidRDefault="009B7EBB">
      <w:hyperlink r:id="rId4" w:history="1">
        <w:r w:rsidRPr="00FF1F51">
          <w:rPr>
            <w:rStyle w:val="Hyperlink"/>
          </w:rPr>
          <w:t>https://www.nap.edu/read/11571/chapter/13#346</w:t>
        </w:r>
      </w:hyperlink>
    </w:p>
    <w:p w:rsidR="009B7EBB" w:rsidRDefault="009B7EBB"/>
    <w:sectPr w:rsidR="009B7EBB" w:rsidSect="00B52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B7EBB"/>
    <w:rsid w:val="009B7EBB"/>
    <w:rsid w:val="00B5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E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p.edu/read/11571/chapter/13#3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2018-08-08T18:52:00Z</dcterms:created>
  <dcterms:modified xsi:type="dcterms:W3CDTF">2018-08-08T18:54:00Z</dcterms:modified>
</cp:coreProperties>
</file>