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5D54E" w14:textId="4DE41E3A" w:rsidR="00562B86" w:rsidRDefault="00172551" w:rsidP="00562B86">
      <w:pPr>
        <w:keepNext/>
        <w:keepLines/>
        <w:spacing w:before="40" w:after="0"/>
        <w:jc w:val="both"/>
        <w:outlineLvl w:val="1"/>
        <w:rPr>
          <w:rFonts w:ascii="Lato Light" w:eastAsiaTheme="majorEastAsia" w:hAnsi="Lato Light" w:cstheme="majorBidi"/>
          <w:color w:val="582C5F" w:themeColor="accent2"/>
          <w:sz w:val="26"/>
          <w:szCs w:val="26"/>
        </w:rPr>
      </w:pPr>
      <w:r>
        <w:rPr>
          <w:rFonts w:ascii="Lato Light" w:eastAsiaTheme="majorEastAsia" w:hAnsi="Lato Light" w:cstheme="majorBidi"/>
          <w:color w:val="582C5F" w:themeColor="accent2"/>
          <w:sz w:val="26"/>
          <w:szCs w:val="26"/>
        </w:rPr>
        <w:t xml:space="preserve">Template 10.1 </w:t>
      </w:r>
      <w:r w:rsidRPr="00172551">
        <w:rPr>
          <w:rFonts w:ascii="Lato Light" w:eastAsiaTheme="majorEastAsia" w:hAnsi="Lato Light" w:cstheme="majorBidi"/>
          <w:color w:val="582C5F" w:themeColor="accent2"/>
          <w:sz w:val="26"/>
          <w:szCs w:val="26"/>
        </w:rPr>
        <w:t>Report checklist for inspectors</w:t>
      </w:r>
    </w:p>
    <w:p w14:paraId="2D9AE465" w14:textId="77777777" w:rsidR="004A3730" w:rsidRDefault="004A3730" w:rsidP="00557031">
      <w:pPr>
        <w:pStyle w:val="ListParagraph"/>
        <w:numPr>
          <w:ilvl w:val="0"/>
          <w:numId w:val="6"/>
        </w:numPr>
      </w:pPr>
      <w:r w:rsidRPr="004A3730">
        <w:t xml:space="preserve">The </w:t>
      </w:r>
      <w:r>
        <w:t xml:space="preserve">report </w:t>
      </w:r>
      <w:r w:rsidRPr="004A3730">
        <w:t xml:space="preserve">template will be </w:t>
      </w:r>
      <w:r>
        <w:t xml:space="preserve">pre-populated </w:t>
      </w:r>
      <w:r w:rsidRPr="004A3730">
        <w:t>branded version appropriate to the commissioning diocese</w:t>
      </w:r>
      <w:r>
        <w:t xml:space="preserve"> and the school being inspected</w:t>
      </w:r>
      <w:r w:rsidRPr="004A3730">
        <w:t>.</w:t>
      </w:r>
    </w:p>
    <w:p w14:paraId="496E3EED" w14:textId="7706F1B0" w:rsidR="004A3730" w:rsidRDefault="004A3730" w:rsidP="00557031">
      <w:pPr>
        <w:pStyle w:val="ListParagraph"/>
        <w:numPr>
          <w:ilvl w:val="0"/>
          <w:numId w:val="6"/>
        </w:numPr>
      </w:pPr>
      <w:r>
        <w:t>Check that the</w:t>
      </w:r>
      <w:r w:rsidRPr="004A3730">
        <w:t xml:space="preserve"> details of the school have </w:t>
      </w:r>
      <w:r>
        <w:t>been correctly</w:t>
      </w:r>
      <w:r w:rsidRPr="004A3730">
        <w:t xml:space="preserve"> pre-populated. </w:t>
      </w:r>
      <w:r>
        <w:t>I</w:t>
      </w:r>
      <w:r w:rsidRPr="004A3730">
        <w:t>nform the Catholic Schools Inspectorate coordinator if not.</w:t>
      </w:r>
    </w:p>
    <w:p w14:paraId="05104B9C" w14:textId="77777777" w:rsidR="005B1000" w:rsidRDefault="004A3730" w:rsidP="00557031">
      <w:pPr>
        <w:pStyle w:val="ListParagraph"/>
        <w:numPr>
          <w:ilvl w:val="0"/>
          <w:numId w:val="6"/>
        </w:numPr>
      </w:pPr>
      <w:r w:rsidRPr="004A3730">
        <w:t>Insert the date of the inspection in the following form: n – n Month Year (e.g. 8 – 9 June 2026).</w:t>
      </w:r>
    </w:p>
    <w:p w14:paraId="47303769" w14:textId="3FD5F783" w:rsidR="005B1000" w:rsidRDefault="004A3730" w:rsidP="00557031">
      <w:pPr>
        <w:pStyle w:val="ListParagraph"/>
        <w:numPr>
          <w:ilvl w:val="0"/>
          <w:numId w:val="6"/>
        </w:numPr>
      </w:pPr>
      <w:r w:rsidRPr="004A3730">
        <w:t xml:space="preserve">The document should be saved with a name that includes the date of the final day of inspection, the name of the school and its URN </w:t>
      </w:r>
      <w:r w:rsidR="005B1000">
        <w:t>and</w:t>
      </w:r>
      <w:r w:rsidRPr="004A3730">
        <w:t xml:space="preserve"> that it is clear that this a draft report for the school being inspected, in the following form: </w:t>
      </w:r>
      <w:r w:rsidRPr="001F0E38">
        <w:rPr>
          <w:i/>
          <w:iCs/>
        </w:rPr>
        <w:t>yyyymmdd_URN_Schoolname</w:t>
      </w:r>
      <w:r w:rsidRPr="004A3730">
        <w:t xml:space="preserve"> DRAFT (e.g. 20260609_457320_St Joseph’s DRAFT).</w:t>
      </w:r>
    </w:p>
    <w:p w14:paraId="17B7F838" w14:textId="5D314BA7" w:rsidR="00172551" w:rsidRPr="00562B86" w:rsidRDefault="003C69AE" w:rsidP="00557031">
      <w:pPr>
        <w:pStyle w:val="ListParagraph"/>
        <w:numPr>
          <w:ilvl w:val="0"/>
          <w:numId w:val="6"/>
        </w:numPr>
      </w:pPr>
      <w:r w:rsidRPr="003C69AE">
        <w:t xml:space="preserve">Complete the report and check it against the requirements set out </w:t>
      </w:r>
      <w:r w:rsidR="00557031">
        <w:t>below</w:t>
      </w:r>
      <w:r w:rsidR="00BE2D07">
        <w:t>, before submitting it to the diocese</w:t>
      </w:r>
      <w:r w:rsidR="00557031">
        <w:t>:</w:t>
      </w:r>
    </w:p>
    <w:tbl>
      <w:tblPr>
        <w:tblStyle w:val="TableGrid"/>
        <w:tblW w:w="9949" w:type="dxa"/>
        <w:tblInd w:w="-113" w:type="dxa"/>
        <w:tblLook w:val="04A0" w:firstRow="1" w:lastRow="0" w:firstColumn="1" w:lastColumn="0" w:noHBand="0" w:noVBand="1"/>
      </w:tblPr>
      <w:tblGrid>
        <w:gridCol w:w="8956"/>
        <w:gridCol w:w="993"/>
      </w:tblGrid>
      <w:tr w:rsidR="00C177DE" w:rsidRPr="00C177DE" w14:paraId="5A167915" w14:textId="77777777" w:rsidTr="00C177DE">
        <w:trPr>
          <w:trHeight w:val="682"/>
        </w:trPr>
        <w:tc>
          <w:tcPr>
            <w:tcW w:w="8956" w:type="dxa"/>
          </w:tcPr>
          <w:p w14:paraId="2174D346" w14:textId="720E06C2" w:rsidR="00C177DE" w:rsidRPr="00C177DE" w:rsidRDefault="00C177DE" w:rsidP="00C177DE">
            <w:pPr>
              <w:numPr>
                <w:ilvl w:val="0"/>
                <w:numId w:val="5"/>
              </w:numPr>
              <w:jc w:val="both"/>
              <w:rPr>
                <w:rFonts w:ascii="Lato" w:hAnsi="Lato"/>
              </w:rPr>
            </w:pPr>
            <w:r w:rsidRPr="00C177DE">
              <w:t>All sections of the report have been completed according to the rubric set out and correctly formatted as outlined in the style guide.</w:t>
            </w:r>
          </w:p>
        </w:tc>
        <w:tc>
          <w:tcPr>
            <w:tcW w:w="993" w:type="dxa"/>
          </w:tcPr>
          <w:p w14:paraId="19D9F847" w14:textId="77777777" w:rsidR="00C177DE" w:rsidRPr="00C177DE" w:rsidRDefault="00C177DE" w:rsidP="00C177DE">
            <w:pPr>
              <w:rPr>
                <w:rFonts w:ascii="Lato" w:hAnsi="Lato"/>
              </w:rPr>
            </w:pPr>
          </w:p>
        </w:tc>
      </w:tr>
      <w:tr w:rsidR="00C177DE" w:rsidRPr="00C177DE" w14:paraId="41775A83" w14:textId="77777777" w:rsidTr="00E81603">
        <w:trPr>
          <w:trHeight w:val="706"/>
        </w:trPr>
        <w:tc>
          <w:tcPr>
            <w:tcW w:w="8956" w:type="dxa"/>
          </w:tcPr>
          <w:p w14:paraId="2B300ACC" w14:textId="1F262FE6" w:rsidR="00C177DE" w:rsidRPr="00C177DE" w:rsidRDefault="00C177DE" w:rsidP="00C177DE">
            <w:pPr>
              <w:numPr>
                <w:ilvl w:val="0"/>
                <w:numId w:val="5"/>
              </w:numPr>
              <w:jc w:val="both"/>
              <w:rPr>
                <w:rFonts w:ascii="Lato" w:hAnsi="Lato"/>
              </w:rPr>
            </w:pPr>
            <w:r w:rsidRPr="00C177DE">
              <w:t>Overall effectiveness and key judgement grades have been correctly calculated, using the aggregate grade descriptor in the framework.</w:t>
            </w:r>
          </w:p>
        </w:tc>
        <w:tc>
          <w:tcPr>
            <w:tcW w:w="993" w:type="dxa"/>
          </w:tcPr>
          <w:p w14:paraId="6D1B0AB9" w14:textId="77777777" w:rsidR="00C177DE" w:rsidRPr="00C177DE" w:rsidRDefault="00C177DE" w:rsidP="00C177DE">
            <w:pPr>
              <w:rPr>
                <w:rFonts w:ascii="Lato" w:hAnsi="Lato"/>
              </w:rPr>
            </w:pPr>
          </w:p>
        </w:tc>
      </w:tr>
      <w:tr w:rsidR="004034C1" w:rsidRPr="00C177DE" w14:paraId="0B3AA12E" w14:textId="77777777" w:rsidTr="00E81603">
        <w:trPr>
          <w:trHeight w:val="706"/>
        </w:trPr>
        <w:tc>
          <w:tcPr>
            <w:tcW w:w="8956" w:type="dxa"/>
          </w:tcPr>
          <w:p w14:paraId="1F72C872" w14:textId="72EE5530" w:rsidR="004034C1" w:rsidRPr="00C177DE" w:rsidRDefault="004034C1" w:rsidP="00C177DE">
            <w:pPr>
              <w:numPr>
                <w:ilvl w:val="0"/>
                <w:numId w:val="5"/>
              </w:numPr>
              <w:jc w:val="both"/>
            </w:pPr>
            <w:r w:rsidRPr="004034C1">
              <w:t>The ‘Compliance Statement’ section has been completed, indicating why the school has been given the compliance determination it has in each of the three compliance checks.</w:t>
            </w:r>
          </w:p>
        </w:tc>
        <w:tc>
          <w:tcPr>
            <w:tcW w:w="993" w:type="dxa"/>
          </w:tcPr>
          <w:p w14:paraId="118089FE" w14:textId="77777777" w:rsidR="004034C1" w:rsidRPr="00C177DE" w:rsidRDefault="004034C1" w:rsidP="00C177DE">
            <w:pPr>
              <w:rPr>
                <w:rFonts w:ascii="Lato" w:hAnsi="Lato"/>
              </w:rPr>
            </w:pPr>
          </w:p>
        </w:tc>
      </w:tr>
      <w:tr w:rsidR="00C177DE" w:rsidRPr="00C177DE" w14:paraId="6729B41B" w14:textId="77777777" w:rsidTr="005662ED">
        <w:trPr>
          <w:trHeight w:val="684"/>
        </w:trPr>
        <w:tc>
          <w:tcPr>
            <w:tcW w:w="8956" w:type="dxa"/>
          </w:tcPr>
          <w:p w14:paraId="1AD81E72" w14:textId="170841EE" w:rsidR="00C177DE" w:rsidRPr="00C177DE" w:rsidRDefault="00C177DE" w:rsidP="00C177DE">
            <w:pPr>
              <w:numPr>
                <w:ilvl w:val="0"/>
                <w:numId w:val="5"/>
              </w:numPr>
              <w:jc w:val="both"/>
              <w:rPr>
                <w:rFonts w:ascii="Lato" w:hAnsi="Lato"/>
              </w:rPr>
            </w:pPr>
            <w:r w:rsidRPr="00C177DE">
              <w:t xml:space="preserve">‘What the school does well’ section has been completed, containing </w:t>
            </w:r>
            <w:r w:rsidRPr="00C177DE">
              <w:rPr>
                <w:b/>
                <w:bCs/>
              </w:rPr>
              <w:t>no more</w:t>
            </w:r>
            <w:r w:rsidRPr="00C177DE">
              <w:t xml:space="preserve"> </w:t>
            </w:r>
            <w:r w:rsidRPr="00C177DE">
              <w:rPr>
                <w:b/>
                <w:bCs/>
              </w:rPr>
              <w:t>than</w:t>
            </w:r>
            <w:r w:rsidRPr="00C177DE">
              <w:t xml:space="preserve"> </w:t>
            </w:r>
            <w:r w:rsidRPr="00C177DE">
              <w:rPr>
                <w:b/>
                <w:bCs/>
              </w:rPr>
              <w:t>five</w:t>
            </w:r>
            <w:r w:rsidRPr="00C177DE">
              <w:t xml:space="preserve"> bullets that reflect the evidence presented in the report. </w:t>
            </w:r>
          </w:p>
        </w:tc>
        <w:tc>
          <w:tcPr>
            <w:tcW w:w="993" w:type="dxa"/>
          </w:tcPr>
          <w:p w14:paraId="7014C07F" w14:textId="77777777" w:rsidR="00C177DE" w:rsidRPr="00C177DE" w:rsidRDefault="00C177DE" w:rsidP="00C177DE">
            <w:pPr>
              <w:rPr>
                <w:rFonts w:ascii="Lato" w:hAnsi="Lato"/>
              </w:rPr>
            </w:pPr>
          </w:p>
        </w:tc>
      </w:tr>
      <w:tr w:rsidR="00C177DE" w:rsidRPr="00C177DE" w14:paraId="2600F072" w14:textId="77777777" w:rsidTr="00E81603">
        <w:trPr>
          <w:trHeight w:val="414"/>
        </w:trPr>
        <w:tc>
          <w:tcPr>
            <w:tcW w:w="8956" w:type="dxa"/>
          </w:tcPr>
          <w:p w14:paraId="45EF6645" w14:textId="32D603DB" w:rsidR="00C177DE" w:rsidRPr="00C177DE" w:rsidRDefault="00C177DE" w:rsidP="00C177DE">
            <w:pPr>
              <w:numPr>
                <w:ilvl w:val="0"/>
                <w:numId w:val="5"/>
              </w:numPr>
              <w:jc w:val="both"/>
              <w:rPr>
                <w:rFonts w:ascii="Lato" w:hAnsi="Lato"/>
              </w:rPr>
            </w:pPr>
            <w:r w:rsidRPr="00C177DE">
              <w:t xml:space="preserve"> ‘What the school does well’ section covers all three key judgement areas.</w:t>
            </w:r>
          </w:p>
        </w:tc>
        <w:tc>
          <w:tcPr>
            <w:tcW w:w="993" w:type="dxa"/>
          </w:tcPr>
          <w:p w14:paraId="0C334594" w14:textId="77777777" w:rsidR="00C177DE" w:rsidRPr="00C177DE" w:rsidRDefault="00C177DE" w:rsidP="00C177DE">
            <w:pPr>
              <w:rPr>
                <w:rFonts w:ascii="Lato" w:hAnsi="Lato"/>
              </w:rPr>
            </w:pPr>
          </w:p>
        </w:tc>
      </w:tr>
      <w:tr w:rsidR="00C177DE" w:rsidRPr="00C177DE" w14:paraId="1364E1F3" w14:textId="77777777" w:rsidTr="005662ED">
        <w:trPr>
          <w:trHeight w:val="730"/>
        </w:trPr>
        <w:tc>
          <w:tcPr>
            <w:tcW w:w="8956" w:type="dxa"/>
          </w:tcPr>
          <w:p w14:paraId="0D15094D" w14:textId="575EAB78" w:rsidR="00C177DE" w:rsidRPr="00C177DE" w:rsidRDefault="00C177DE" w:rsidP="00C177DE">
            <w:pPr>
              <w:numPr>
                <w:ilvl w:val="0"/>
                <w:numId w:val="5"/>
              </w:numPr>
              <w:jc w:val="both"/>
              <w:rPr>
                <w:rFonts w:ascii="Lato" w:hAnsi="Lato"/>
              </w:rPr>
            </w:pPr>
            <w:r w:rsidRPr="00C177DE">
              <w:t xml:space="preserve">‘What the school needs to improve’ has been completed, the aspects are appropriate, are reflected in the evidence reported, and there are </w:t>
            </w:r>
            <w:r w:rsidRPr="00C177DE">
              <w:rPr>
                <w:b/>
                <w:bCs/>
              </w:rPr>
              <w:t>no more than three</w:t>
            </w:r>
            <w:r w:rsidRPr="00C177DE">
              <w:t xml:space="preserve"> bullets.</w:t>
            </w:r>
          </w:p>
        </w:tc>
        <w:tc>
          <w:tcPr>
            <w:tcW w:w="993" w:type="dxa"/>
          </w:tcPr>
          <w:p w14:paraId="7B12982D" w14:textId="77777777" w:rsidR="00C177DE" w:rsidRPr="00C177DE" w:rsidRDefault="00C177DE" w:rsidP="00C177DE">
            <w:pPr>
              <w:rPr>
                <w:rFonts w:ascii="Lato" w:hAnsi="Lato"/>
              </w:rPr>
            </w:pPr>
          </w:p>
        </w:tc>
      </w:tr>
      <w:tr w:rsidR="00C177DE" w:rsidRPr="00C177DE" w14:paraId="5F010C97" w14:textId="77777777" w:rsidTr="005662ED">
        <w:trPr>
          <w:trHeight w:val="674"/>
        </w:trPr>
        <w:tc>
          <w:tcPr>
            <w:tcW w:w="8956" w:type="dxa"/>
          </w:tcPr>
          <w:p w14:paraId="203CD476" w14:textId="65E4FC4C" w:rsidR="00C177DE" w:rsidRPr="00C177DE" w:rsidRDefault="00C177DE" w:rsidP="00C177DE">
            <w:pPr>
              <w:numPr>
                <w:ilvl w:val="0"/>
                <w:numId w:val="5"/>
              </w:numPr>
              <w:jc w:val="both"/>
              <w:rPr>
                <w:rFonts w:ascii="Lato" w:hAnsi="Lato"/>
              </w:rPr>
            </w:pPr>
            <w:r w:rsidRPr="00C177DE">
              <w:t>The text for each of the three judgement areas contains no more than 600 words.</w:t>
            </w:r>
          </w:p>
        </w:tc>
        <w:tc>
          <w:tcPr>
            <w:tcW w:w="993" w:type="dxa"/>
          </w:tcPr>
          <w:p w14:paraId="58AF7AA6" w14:textId="77777777" w:rsidR="00C177DE" w:rsidRPr="00C177DE" w:rsidRDefault="00C177DE" w:rsidP="00C177DE">
            <w:pPr>
              <w:rPr>
                <w:rFonts w:ascii="Lato" w:hAnsi="Lato"/>
              </w:rPr>
            </w:pPr>
          </w:p>
        </w:tc>
      </w:tr>
      <w:tr w:rsidR="00C177DE" w:rsidRPr="00C177DE" w14:paraId="54F8418A" w14:textId="77777777" w:rsidTr="005662ED">
        <w:trPr>
          <w:trHeight w:val="347"/>
        </w:trPr>
        <w:tc>
          <w:tcPr>
            <w:tcW w:w="8956" w:type="dxa"/>
          </w:tcPr>
          <w:p w14:paraId="464CF856" w14:textId="1CAFEA6B" w:rsidR="00C177DE" w:rsidRPr="00C177DE" w:rsidRDefault="00C177DE" w:rsidP="00C177DE">
            <w:pPr>
              <w:numPr>
                <w:ilvl w:val="0"/>
                <w:numId w:val="5"/>
              </w:numPr>
              <w:jc w:val="both"/>
              <w:rPr>
                <w:rFonts w:ascii="Lato" w:hAnsi="Lato"/>
              </w:rPr>
            </w:pPr>
            <w:r w:rsidRPr="00C177DE">
              <w:t>The text for each of the three judgement areas contain a paragraph covering each of: outcomes, provision, and leadership.</w:t>
            </w:r>
          </w:p>
        </w:tc>
        <w:tc>
          <w:tcPr>
            <w:tcW w:w="993" w:type="dxa"/>
          </w:tcPr>
          <w:p w14:paraId="11DFE246" w14:textId="77777777" w:rsidR="00C177DE" w:rsidRPr="00C177DE" w:rsidRDefault="00C177DE" w:rsidP="00C177DE">
            <w:pPr>
              <w:rPr>
                <w:rFonts w:ascii="Lato" w:hAnsi="Lato"/>
              </w:rPr>
            </w:pPr>
          </w:p>
        </w:tc>
      </w:tr>
      <w:tr w:rsidR="00C177DE" w:rsidRPr="00C177DE" w14:paraId="7A80C8C8" w14:textId="77777777" w:rsidTr="00EC528F">
        <w:trPr>
          <w:trHeight w:val="481"/>
        </w:trPr>
        <w:tc>
          <w:tcPr>
            <w:tcW w:w="8956" w:type="dxa"/>
          </w:tcPr>
          <w:p w14:paraId="52F7281E" w14:textId="23C0D98C" w:rsidR="00C177DE" w:rsidRPr="00C177DE" w:rsidRDefault="00C177DE" w:rsidP="00C177DE">
            <w:pPr>
              <w:numPr>
                <w:ilvl w:val="0"/>
                <w:numId w:val="5"/>
              </w:numPr>
              <w:jc w:val="both"/>
              <w:rPr>
                <w:rFonts w:ascii="Lato" w:hAnsi="Lato"/>
              </w:rPr>
            </w:pPr>
            <w:r w:rsidRPr="00C177DE">
              <w:t>The text for each judgement matches the numerical grade given.</w:t>
            </w:r>
          </w:p>
        </w:tc>
        <w:tc>
          <w:tcPr>
            <w:tcW w:w="993" w:type="dxa"/>
          </w:tcPr>
          <w:p w14:paraId="6ECAF0B2" w14:textId="77777777" w:rsidR="00C177DE" w:rsidRPr="00C177DE" w:rsidRDefault="00C177DE" w:rsidP="00C177DE">
            <w:pPr>
              <w:rPr>
                <w:rFonts w:ascii="Lato" w:hAnsi="Lato"/>
              </w:rPr>
            </w:pPr>
          </w:p>
        </w:tc>
      </w:tr>
      <w:tr w:rsidR="00C177DE" w:rsidRPr="00C177DE" w14:paraId="549E4F5B" w14:textId="77777777" w:rsidTr="00EC528F">
        <w:trPr>
          <w:trHeight w:val="842"/>
        </w:trPr>
        <w:tc>
          <w:tcPr>
            <w:tcW w:w="8956" w:type="dxa"/>
          </w:tcPr>
          <w:p w14:paraId="39A3A50E" w14:textId="38669F0F" w:rsidR="00C177DE" w:rsidRPr="00C177DE" w:rsidRDefault="00C177DE" w:rsidP="00C177DE">
            <w:pPr>
              <w:numPr>
                <w:ilvl w:val="0"/>
                <w:numId w:val="5"/>
              </w:numPr>
              <w:jc w:val="both"/>
              <w:rPr>
                <w:rFonts w:ascii="Lato" w:hAnsi="Lato"/>
              </w:rPr>
            </w:pPr>
            <w:r w:rsidRPr="00C177DE">
              <w:t>For all judgements that are not outstanding, the text makes clear what is preventing the grade from being higher than it is.</w:t>
            </w:r>
          </w:p>
        </w:tc>
        <w:tc>
          <w:tcPr>
            <w:tcW w:w="993" w:type="dxa"/>
          </w:tcPr>
          <w:p w14:paraId="55FFE26D" w14:textId="77777777" w:rsidR="00C177DE" w:rsidRPr="00C177DE" w:rsidRDefault="00C177DE" w:rsidP="00C177DE">
            <w:pPr>
              <w:rPr>
                <w:rFonts w:ascii="Lato" w:hAnsi="Lato"/>
              </w:rPr>
            </w:pPr>
          </w:p>
        </w:tc>
      </w:tr>
      <w:tr w:rsidR="00193A8C" w:rsidRPr="00C177DE" w14:paraId="7280EACE" w14:textId="77777777" w:rsidTr="005662ED">
        <w:trPr>
          <w:trHeight w:val="682"/>
        </w:trPr>
        <w:tc>
          <w:tcPr>
            <w:tcW w:w="8956" w:type="dxa"/>
          </w:tcPr>
          <w:p w14:paraId="58573524" w14:textId="41343E6A" w:rsidR="00193A8C" w:rsidRPr="00C177DE" w:rsidRDefault="00193A8C" w:rsidP="00193A8C">
            <w:pPr>
              <w:numPr>
                <w:ilvl w:val="0"/>
                <w:numId w:val="5"/>
              </w:numPr>
              <w:jc w:val="both"/>
              <w:rPr>
                <w:rFonts w:ascii="Lato" w:hAnsi="Lato"/>
              </w:rPr>
            </w:pPr>
            <w:r w:rsidRPr="00BB262B">
              <w:t>Judgements clearly and objectively apply the grade descriptors as they are found in the schedule.</w:t>
            </w:r>
          </w:p>
        </w:tc>
        <w:tc>
          <w:tcPr>
            <w:tcW w:w="993" w:type="dxa"/>
          </w:tcPr>
          <w:p w14:paraId="249E932D" w14:textId="77777777" w:rsidR="00193A8C" w:rsidRPr="00C177DE" w:rsidRDefault="00193A8C" w:rsidP="00193A8C">
            <w:pPr>
              <w:rPr>
                <w:rFonts w:ascii="Lato" w:hAnsi="Lato"/>
              </w:rPr>
            </w:pPr>
          </w:p>
        </w:tc>
      </w:tr>
      <w:tr w:rsidR="00193A8C" w:rsidRPr="00C177DE" w14:paraId="6D904020" w14:textId="77777777" w:rsidTr="005662ED">
        <w:trPr>
          <w:trHeight w:val="973"/>
        </w:trPr>
        <w:tc>
          <w:tcPr>
            <w:tcW w:w="8956" w:type="dxa"/>
          </w:tcPr>
          <w:p w14:paraId="56BCC949" w14:textId="0C4B4A11" w:rsidR="00193A8C" w:rsidRPr="00C177DE" w:rsidRDefault="00193A8C" w:rsidP="00193A8C">
            <w:pPr>
              <w:numPr>
                <w:ilvl w:val="0"/>
                <w:numId w:val="5"/>
              </w:numPr>
              <w:jc w:val="both"/>
              <w:rPr>
                <w:rFonts w:ascii="Lato" w:hAnsi="Lato"/>
              </w:rPr>
            </w:pPr>
            <w:r w:rsidRPr="00BB262B">
              <w:t>The text throughout is evaluative, not just descriptive: it judges what the school does, how well it does it and the impact it has on the pupils. It focuses on typicality, on what pupils regularly experience and the evidence for this.</w:t>
            </w:r>
          </w:p>
        </w:tc>
        <w:tc>
          <w:tcPr>
            <w:tcW w:w="993" w:type="dxa"/>
          </w:tcPr>
          <w:p w14:paraId="2382D774" w14:textId="77777777" w:rsidR="00193A8C" w:rsidRPr="00C177DE" w:rsidRDefault="00193A8C" w:rsidP="00193A8C">
            <w:pPr>
              <w:rPr>
                <w:rFonts w:ascii="Lato" w:hAnsi="Lato"/>
              </w:rPr>
            </w:pPr>
          </w:p>
        </w:tc>
      </w:tr>
      <w:tr w:rsidR="00193A8C" w:rsidRPr="00C177DE" w14:paraId="44EB5888" w14:textId="77777777" w:rsidTr="00EC528F">
        <w:trPr>
          <w:trHeight w:val="594"/>
        </w:trPr>
        <w:tc>
          <w:tcPr>
            <w:tcW w:w="8956" w:type="dxa"/>
          </w:tcPr>
          <w:p w14:paraId="51F8F44D" w14:textId="3F6534AF" w:rsidR="00193A8C" w:rsidRPr="00C177DE" w:rsidRDefault="00193A8C" w:rsidP="00193A8C">
            <w:pPr>
              <w:numPr>
                <w:ilvl w:val="0"/>
                <w:numId w:val="5"/>
              </w:numPr>
              <w:jc w:val="both"/>
              <w:rPr>
                <w:rFonts w:ascii="Lato" w:hAnsi="Lato"/>
              </w:rPr>
            </w:pPr>
            <w:r w:rsidRPr="00BB262B">
              <w:lastRenderedPageBreak/>
              <w:t>Judgements are justified by reference to evidence.</w:t>
            </w:r>
          </w:p>
        </w:tc>
        <w:tc>
          <w:tcPr>
            <w:tcW w:w="993" w:type="dxa"/>
          </w:tcPr>
          <w:p w14:paraId="56C0FE5F" w14:textId="77777777" w:rsidR="00193A8C" w:rsidRPr="00C177DE" w:rsidRDefault="00193A8C" w:rsidP="00193A8C">
            <w:pPr>
              <w:rPr>
                <w:rFonts w:ascii="Lato" w:hAnsi="Lato"/>
              </w:rPr>
            </w:pPr>
          </w:p>
        </w:tc>
      </w:tr>
      <w:tr w:rsidR="00193A8C" w:rsidRPr="00C177DE" w14:paraId="3CE65F04" w14:textId="77777777" w:rsidTr="005662ED">
        <w:trPr>
          <w:trHeight w:val="431"/>
        </w:trPr>
        <w:tc>
          <w:tcPr>
            <w:tcW w:w="8956" w:type="dxa"/>
          </w:tcPr>
          <w:p w14:paraId="13B020F7" w14:textId="28A2F47E" w:rsidR="00193A8C" w:rsidRPr="00C177DE" w:rsidRDefault="00193A8C" w:rsidP="00193A8C">
            <w:pPr>
              <w:numPr>
                <w:ilvl w:val="0"/>
                <w:numId w:val="5"/>
              </w:numPr>
              <w:jc w:val="both"/>
              <w:rPr>
                <w:rFonts w:ascii="Lato" w:hAnsi="Lato"/>
              </w:rPr>
            </w:pPr>
            <w:r w:rsidRPr="00BB262B">
              <w:t>The report does not simply regurgitate the text of the grade descriptors from the schedule.</w:t>
            </w:r>
          </w:p>
        </w:tc>
        <w:tc>
          <w:tcPr>
            <w:tcW w:w="993" w:type="dxa"/>
          </w:tcPr>
          <w:p w14:paraId="66ED691D" w14:textId="77777777" w:rsidR="00193A8C" w:rsidRPr="00C177DE" w:rsidRDefault="00193A8C" w:rsidP="00193A8C">
            <w:pPr>
              <w:rPr>
                <w:rFonts w:ascii="Lato" w:hAnsi="Lato"/>
              </w:rPr>
            </w:pPr>
          </w:p>
        </w:tc>
      </w:tr>
      <w:tr w:rsidR="00193A8C" w:rsidRPr="00C177DE" w14:paraId="4F77E53B" w14:textId="77777777" w:rsidTr="00EC528F">
        <w:trPr>
          <w:trHeight w:val="983"/>
        </w:trPr>
        <w:tc>
          <w:tcPr>
            <w:tcW w:w="8956" w:type="dxa"/>
          </w:tcPr>
          <w:p w14:paraId="6CD8025A" w14:textId="0E8A543A" w:rsidR="00193A8C" w:rsidRPr="00C177DE" w:rsidRDefault="00193A8C" w:rsidP="00193A8C">
            <w:pPr>
              <w:numPr>
                <w:ilvl w:val="0"/>
                <w:numId w:val="5"/>
              </w:numPr>
              <w:jc w:val="both"/>
              <w:rPr>
                <w:rFonts w:ascii="Lato" w:hAnsi="Lato"/>
              </w:rPr>
            </w:pPr>
            <w:r w:rsidRPr="00BB262B">
              <w:t>The report uses examples to support judgements and to reflect the uniqueness of the school being inspected; the school should be able to recognise the report’s authenticity.</w:t>
            </w:r>
          </w:p>
        </w:tc>
        <w:tc>
          <w:tcPr>
            <w:tcW w:w="993" w:type="dxa"/>
          </w:tcPr>
          <w:p w14:paraId="35DF3819" w14:textId="77777777" w:rsidR="00193A8C" w:rsidRPr="00C177DE" w:rsidRDefault="00193A8C" w:rsidP="00193A8C">
            <w:pPr>
              <w:rPr>
                <w:rFonts w:ascii="Lato" w:hAnsi="Lato"/>
              </w:rPr>
            </w:pPr>
          </w:p>
        </w:tc>
      </w:tr>
      <w:tr w:rsidR="00193A8C" w:rsidRPr="00C177DE" w14:paraId="37C07094" w14:textId="77777777" w:rsidTr="009428F1">
        <w:trPr>
          <w:trHeight w:val="699"/>
        </w:trPr>
        <w:tc>
          <w:tcPr>
            <w:tcW w:w="8956" w:type="dxa"/>
          </w:tcPr>
          <w:p w14:paraId="45A1F395" w14:textId="6BCDEF5D" w:rsidR="00193A8C" w:rsidRPr="00C177DE" w:rsidRDefault="00193A8C" w:rsidP="00193A8C">
            <w:pPr>
              <w:numPr>
                <w:ilvl w:val="0"/>
                <w:numId w:val="5"/>
              </w:numPr>
              <w:jc w:val="both"/>
              <w:rPr>
                <w:rFonts w:ascii="Lato" w:hAnsi="Lato"/>
              </w:rPr>
            </w:pPr>
            <w:r w:rsidRPr="00BB262B">
              <w:t>Comments relate to how the school is now, not how it is anticipated to be at some future point.</w:t>
            </w:r>
          </w:p>
        </w:tc>
        <w:tc>
          <w:tcPr>
            <w:tcW w:w="993" w:type="dxa"/>
          </w:tcPr>
          <w:p w14:paraId="710A6B39" w14:textId="77777777" w:rsidR="00193A8C" w:rsidRPr="00C177DE" w:rsidRDefault="00193A8C" w:rsidP="00193A8C">
            <w:pPr>
              <w:rPr>
                <w:rFonts w:ascii="Lato" w:hAnsi="Lato"/>
              </w:rPr>
            </w:pPr>
          </w:p>
        </w:tc>
      </w:tr>
      <w:tr w:rsidR="00193A8C" w:rsidRPr="00C177DE" w14:paraId="1C403759" w14:textId="77777777" w:rsidTr="009428F1">
        <w:trPr>
          <w:trHeight w:val="552"/>
        </w:trPr>
        <w:tc>
          <w:tcPr>
            <w:tcW w:w="8956" w:type="dxa"/>
          </w:tcPr>
          <w:p w14:paraId="6CABB5CE" w14:textId="5664A8C3" w:rsidR="00193A8C" w:rsidRPr="00C177DE" w:rsidRDefault="00193A8C" w:rsidP="00193A8C">
            <w:pPr>
              <w:numPr>
                <w:ilvl w:val="0"/>
                <w:numId w:val="5"/>
              </w:numPr>
              <w:jc w:val="both"/>
              <w:rPr>
                <w:rFonts w:ascii="Lato" w:hAnsi="Lato"/>
              </w:rPr>
            </w:pPr>
            <w:r w:rsidRPr="00BB262B">
              <w:t>The report avoids advisory language and speculation.</w:t>
            </w:r>
          </w:p>
        </w:tc>
        <w:tc>
          <w:tcPr>
            <w:tcW w:w="993" w:type="dxa"/>
          </w:tcPr>
          <w:p w14:paraId="126A8A16" w14:textId="77777777" w:rsidR="00193A8C" w:rsidRPr="00C177DE" w:rsidRDefault="00193A8C" w:rsidP="00193A8C">
            <w:pPr>
              <w:rPr>
                <w:rFonts w:ascii="Lato" w:hAnsi="Lato"/>
              </w:rPr>
            </w:pPr>
          </w:p>
        </w:tc>
      </w:tr>
      <w:tr w:rsidR="00193A8C" w:rsidRPr="00C177DE" w14:paraId="76871E26" w14:textId="77777777" w:rsidTr="005662ED">
        <w:trPr>
          <w:trHeight w:val="690"/>
        </w:trPr>
        <w:tc>
          <w:tcPr>
            <w:tcW w:w="8956" w:type="dxa"/>
          </w:tcPr>
          <w:p w14:paraId="66982480" w14:textId="6EAB22EB" w:rsidR="00193A8C" w:rsidRPr="00C177DE" w:rsidRDefault="00193A8C" w:rsidP="00193A8C">
            <w:pPr>
              <w:numPr>
                <w:ilvl w:val="0"/>
                <w:numId w:val="5"/>
              </w:numPr>
              <w:jc w:val="both"/>
              <w:rPr>
                <w:rFonts w:ascii="Lato" w:hAnsi="Lato"/>
              </w:rPr>
            </w:pPr>
            <w:r w:rsidRPr="00BB262B">
              <w:t>The report is written in the present tense, is free from unnecessary technical jargon and is written in plain English.</w:t>
            </w:r>
          </w:p>
        </w:tc>
        <w:tc>
          <w:tcPr>
            <w:tcW w:w="993" w:type="dxa"/>
          </w:tcPr>
          <w:p w14:paraId="75BD342A" w14:textId="77777777" w:rsidR="00193A8C" w:rsidRPr="00C177DE" w:rsidRDefault="00193A8C" w:rsidP="00193A8C">
            <w:pPr>
              <w:rPr>
                <w:rFonts w:ascii="Lato" w:hAnsi="Lato"/>
              </w:rPr>
            </w:pPr>
          </w:p>
        </w:tc>
      </w:tr>
      <w:tr w:rsidR="00193A8C" w:rsidRPr="00C177DE" w14:paraId="5C70E615" w14:textId="77777777" w:rsidTr="005662ED">
        <w:trPr>
          <w:trHeight w:val="690"/>
        </w:trPr>
        <w:tc>
          <w:tcPr>
            <w:tcW w:w="8956" w:type="dxa"/>
          </w:tcPr>
          <w:p w14:paraId="14F5359C" w14:textId="366788A8" w:rsidR="00193A8C" w:rsidRPr="00C177DE" w:rsidRDefault="00193A8C" w:rsidP="00193A8C">
            <w:pPr>
              <w:numPr>
                <w:ilvl w:val="0"/>
                <w:numId w:val="5"/>
              </w:numPr>
              <w:jc w:val="both"/>
              <w:rPr>
                <w:rFonts w:ascii="Lato" w:hAnsi="Lato"/>
              </w:rPr>
            </w:pPr>
            <w:r w:rsidRPr="00BB262B">
              <w:t xml:space="preserve">The report is free from spelling and grammatical errors and adheres to the ‘Guidance on grammar and house style’ from the inspection handbook </w:t>
            </w:r>
          </w:p>
        </w:tc>
        <w:tc>
          <w:tcPr>
            <w:tcW w:w="993" w:type="dxa"/>
          </w:tcPr>
          <w:p w14:paraId="1E1666C2" w14:textId="77777777" w:rsidR="00193A8C" w:rsidRPr="00C177DE" w:rsidRDefault="00193A8C" w:rsidP="00193A8C">
            <w:pPr>
              <w:rPr>
                <w:rFonts w:ascii="Lato" w:hAnsi="Lato"/>
              </w:rPr>
            </w:pPr>
          </w:p>
        </w:tc>
      </w:tr>
    </w:tbl>
    <w:p w14:paraId="2A16B229" w14:textId="77777777" w:rsidR="005C5DD0" w:rsidRPr="00562B86" w:rsidRDefault="005C5DD0" w:rsidP="00562B86"/>
    <w:sectPr w:rsidR="005C5DD0" w:rsidRPr="00562B86" w:rsidSect="00562B86">
      <w:headerReference w:type="first" r:id="rId10"/>
      <w:pgSz w:w="11906" w:h="16838"/>
      <w:pgMar w:top="1440" w:right="1440" w:bottom="144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1CB17" w14:textId="77777777" w:rsidR="003B1259" w:rsidRDefault="003B1259" w:rsidP="0066483E">
      <w:pPr>
        <w:spacing w:after="0" w:line="240" w:lineRule="auto"/>
      </w:pPr>
      <w:r>
        <w:separator/>
      </w:r>
    </w:p>
  </w:endnote>
  <w:endnote w:type="continuationSeparator" w:id="0">
    <w:p w14:paraId="61864366" w14:textId="77777777" w:rsidR="003B1259" w:rsidRDefault="003B1259" w:rsidP="0066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auto"/>
    <w:pitch w:val="variable"/>
    <w:sig w:usb0="E00002FF" w:usb1="4000201B" w:usb2="00000028" w:usb3="00000000" w:csb0="0000019F" w:csb1="00000000"/>
  </w:font>
  <w:font w:name="Lato Light">
    <w:panose1 w:val="020F0502020204030203"/>
    <w:charset w:val="00"/>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B7D61" w14:textId="77777777" w:rsidR="003B1259" w:rsidRDefault="003B1259" w:rsidP="0066483E">
      <w:pPr>
        <w:spacing w:after="0" w:line="240" w:lineRule="auto"/>
      </w:pPr>
      <w:r>
        <w:separator/>
      </w:r>
    </w:p>
  </w:footnote>
  <w:footnote w:type="continuationSeparator" w:id="0">
    <w:p w14:paraId="755AF536" w14:textId="77777777" w:rsidR="003B1259" w:rsidRDefault="003B1259" w:rsidP="00664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EAA89" w14:textId="4C64E526" w:rsidR="00111094" w:rsidRDefault="00111094" w:rsidP="00111094">
    <w:pPr>
      <w:pStyle w:val="Header"/>
      <w:tabs>
        <w:tab w:val="clear" w:pos="4513"/>
        <w:tab w:val="clear" w:pos="9026"/>
        <w:tab w:val="left" w:pos="12188"/>
      </w:tabs>
    </w:pPr>
    <w:r>
      <w:rPr>
        <w:noProof/>
      </w:rPr>
      <w:drawing>
        <wp:anchor distT="0" distB="0" distL="114300" distR="114300" simplePos="0" relativeHeight="251659264" behindDoc="0" locked="0" layoutInCell="1" allowOverlap="1" wp14:anchorId="7844B668" wp14:editId="152DBFDA">
          <wp:simplePos x="0" y="0"/>
          <wp:positionH relativeFrom="margin">
            <wp:posOffset>3421380</wp:posOffset>
          </wp:positionH>
          <wp:positionV relativeFrom="paragraph">
            <wp:posOffset>-234315</wp:posOffset>
          </wp:positionV>
          <wp:extent cx="3367405" cy="777875"/>
          <wp:effectExtent l="0" t="0" r="0" b="0"/>
          <wp:wrapTopAndBottom/>
          <wp:docPr id="9" name="Picture 9"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t="33063" b="34261"/>
                  <a:stretch>
                    <a:fillRect/>
                  </a:stretch>
                </pic:blipFill>
                <pic:spPr bwMode="auto">
                  <a:xfrm>
                    <a:off x="0" y="0"/>
                    <a:ext cx="3367405" cy="777875"/>
                  </a:xfrm>
                  <a:prstGeom prst="rect">
                    <a:avLst/>
                  </a:prstGeom>
                  <a:noFill/>
                </pic:spPr>
              </pic:pic>
            </a:graphicData>
          </a:graphic>
          <wp14:sizeRelH relativeFrom="page">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412A2"/>
    <w:multiLevelType w:val="hybridMultilevel"/>
    <w:tmpl w:val="FF80970E"/>
    <w:lvl w:ilvl="0" w:tplc="D6F65C5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76655A"/>
    <w:multiLevelType w:val="hybridMultilevel"/>
    <w:tmpl w:val="0ECAB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EE31DAF"/>
    <w:multiLevelType w:val="hybridMultilevel"/>
    <w:tmpl w:val="4CA6E2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98D499E"/>
    <w:multiLevelType w:val="hybridMultilevel"/>
    <w:tmpl w:val="0A82A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EF4F5B"/>
    <w:multiLevelType w:val="hybridMultilevel"/>
    <w:tmpl w:val="086ED7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23643450">
    <w:abstractNumId w:val="0"/>
  </w:num>
  <w:num w:numId="2" w16cid:durableId="618414980">
    <w:abstractNumId w:val="0"/>
  </w:num>
  <w:num w:numId="3" w16cid:durableId="215169708">
    <w:abstractNumId w:val="1"/>
  </w:num>
  <w:num w:numId="4" w16cid:durableId="369186584">
    <w:abstractNumId w:val="4"/>
  </w:num>
  <w:num w:numId="5" w16cid:durableId="92559517">
    <w:abstractNumId w:val="2"/>
  </w:num>
  <w:num w:numId="6" w16cid:durableId="80765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83E"/>
    <w:rsid w:val="000B55F8"/>
    <w:rsid w:val="000C1DE4"/>
    <w:rsid w:val="00111094"/>
    <w:rsid w:val="00172551"/>
    <w:rsid w:val="00190E7E"/>
    <w:rsid w:val="00193A8C"/>
    <w:rsid w:val="001F0E38"/>
    <w:rsid w:val="002865F5"/>
    <w:rsid w:val="002B1D81"/>
    <w:rsid w:val="002C1A43"/>
    <w:rsid w:val="003B1259"/>
    <w:rsid w:val="003C69AE"/>
    <w:rsid w:val="003F5DDA"/>
    <w:rsid w:val="004034C1"/>
    <w:rsid w:val="00455674"/>
    <w:rsid w:val="004A3730"/>
    <w:rsid w:val="00557031"/>
    <w:rsid w:val="00562B86"/>
    <w:rsid w:val="005B1000"/>
    <w:rsid w:val="005C5DD0"/>
    <w:rsid w:val="0066483E"/>
    <w:rsid w:val="007227BE"/>
    <w:rsid w:val="007342CB"/>
    <w:rsid w:val="008157C8"/>
    <w:rsid w:val="0086089F"/>
    <w:rsid w:val="009428F1"/>
    <w:rsid w:val="009B06D6"/>
    <w:rsid w:val="00A15C7B"/>
    <w:rsid w:val="00A85FDE"/>
    <w:rsid w:val="00B1608C"/>
    <w:rsid w:val="00BB1930"/>
    <w:rsid w:val="00BE2D07"/>
    <w:rsid w:val="00C177DE"/>
    <w:rsid w:val="00C51689"/>
    <w:rsid w:val="00C848CE"/>
    <w:rsid w:val="00CD3832"/>
    <w:rsid w:val="00E81603"/>
    <w:rsid w:val="00EC528F"/>
    <w:rsid w:val="00F14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7E1A5"/>
  <w15:chartTrackingRefBased/>
  <w15:docId w15:val="{F60DEE65-5A77-42D0-8295-0A32CFCFC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83E"/>
    <w:rPr>
      <w:rFonts w:ascii="Open Sans" w:hAnsi="Open Sans"/>
    </w:rPr>
  </w:style>
  <w:style w:type="paragraph" w:styleId="Heading1">
    <w:name w:val="heading 1"/>
    <w:basedOn w:val="Normal"/>
    <w:next w:val="Normal"/>
    <w:link w:val="Heading1Char"/>
    <w:uiPriority w:val="9"/>
    <w:qFormat/>
    <w:rsid w:val="0066483E"/>
    <w:pPr>
      <w:keepNext/>
      <w:keepLines/>
      <w:spacing w:before="240" w:after="0"/>
      <w:outlineLvl w:val="0"/>
    </w:pPr>
    <w:rPr>
      <w:rFonts w:ascii="Lato Light" w:eastAsiaTheme="majorEastAsia" w:hAnsi="Lato Light" w:cstheme="majorBidi"/>
      <w:color w:val="582C5F" w:themeColor="accent2"/>
      <w:sz w:val="32"/>
      <w:szCs w:val="32"/>
    </w:rPr>
  </w:style>
  <w:style w:type="paragraph" w:styleId="Heading2">
    <w:name w:val="heading 2"/>
    <w:basedOn w:val="Normal"/>
    <w:next w:val="Normal"/>
    <w:link w:val="Heading2Char"/>
    <w:uiPriority w:val="9"/>
    <w:semiHidden/>
    <w:unhideWhenUsed/>
    <w:qFormat/>
    <w:rsid w:val="0066483E"/>
    <w:pPr>
      <w:keepNext/>
      <w:keepLines/>
      <w:spacing w:before="40" w:after="0"/>
      <w:outlineLvl w:val="1"/>
    </w:pPr>
    <w:rPr>
      <w:rFonts w:ascii="Lato Light" w:eastAsiaTheme="majorEastAsia" w:hAnsi="Lato Light" w:cstheme="majorBidi"/>
      <w:color w:val="20476C" w:themeColor="accent1"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hoolName">
    <w:name w:val="SchoolName"/>
    <w:basedOn w:val="DefaultParagraphFont"/>
    <w:uiPriority w:val="1"/>
    <w:rsid w:val="00C848CE"/>
    <w:rPr>
      <w:rFonts w:ascii="Lato" w:hAnsi="Lato"/>
      <w:sz w:val="48"/>
    </w:rPr>
  </w:style>
  <w:style w:type="character" w:customStyle="1" w:styleId="URN">
    <w:name w:val="URN"/>
    <w:basedOn w:val="DefaultParagraphFont"/>
    <w:uiPriority w:val="1"/>
    <w:rsid w:val="00C848CE"/>
    <w:rPr>
      <w:rFonts w:ascii="Open Sans" w:hAnsi="Open Sans"/>
      <w:sz w:val="18"/>
    </w:rPr>
  </w:style>
  <w:style w:type="character" w:customStyle="1" w:styleId="InspDate">
    <w:name w:val="InspDate"/>
    <w:basedOn w:val="DefaultParagraphFont"/>
    <w:uiPriority w:val="1"/>
    <w:rsid w:val="00C848CE"/>
    <w:rPr>
      <w:rFonts w:ascii="Lato" w:hAnsi="Lato"/>
      <w:sz w:val="28"/>
    </w:rPr>
  </w:style>
  <w:style w:type="character" w:customStyle="1" w:styleId="ReportBody">
    <w:name w:val="ReportBody"/>
    <w:basedOn w:val="DefaultParagraphFont"/>
    <w:uiPriority w:val="1"/>
    <w:rsid w:val="00C848CE"/>
    <w:rPr>
      <w:rFonts w:ascii="Open Sans" w:hAnsi="Open Sans"/>
      <w:sz w:val="22"/>
    </w:rPr>
  </w:style>
  <w:style w:type="paragraph" w:customStyle="1" w:styleId="ReportBodyText">
    <w:name w:val="ReportBodyText"/>
    <w:basedOn w:val="Normal"/>
    <w:link w:val="ReportBodyTextChar"/>
    <w:autoRedefine/>
    <w:rsid w:val="00C848CE"/>
  </w:style>
  <w:style w:type="character" w:customStyle="1" w:styleId="ReportBodyTextChar">
    <w:name w:val="ReportBodyText Char"/>
    <w:basedOn w:val="DefaultParagraphFont"/>
    <w:link w:val="ReportBodyText"/>
    <w:rsid w:val="00C848CE"/>
    <w:rPr>
      <w:rFonts w:ascii="Open Sans" w:hAnsi="Open Sans"/>
    </w:rPr>
  </w:style>
  <w:style w:type="paragraph" w:customStyle="1" w:styleId="Strengths">
    <w:name w:val="Strengths"/>
    <w:basedOn w:val="Normal"/>
    <w:link w:val="StrengthsChar"/>
    <w:autoRedefine/>
    <w:rsid w:val="00C848CE"/>
    <w:pPr>
      <w:ind w:left="720" w:hanging="360"/>
    </w:pPr>
  </w:style>
  <w:style w:type="character" w:customStyle="1" w:styleId="StrengthsChar">
    <w:name w:val="Strengths Char"/>
    <w:basedOn w:val="DefaultParagraphFont"/>
    <w:link w:val="Strengths"/>
    <w:rsid w:val="00C848CE"/>
    <w:rPr>
      <w:rFonts w:ascii="Open Sans" w:hAnsi="Open Sans"/>
    </w:rPr>
  </w:style>
  <w:style w:type="paragraph" w:customStyle="1" w:styleId="AOI">
    <w:name w:val="AOI"/>
    <w:basedOn w:val="Normal"/>
    <w:link w:val="AOIChar"/>
    <w:autoRedefine/>
    <w:rsid w:val="00C848CE"/>
    <w:pPr>
      <w:ind w:left="714" w:hanging="357"/>
    </w:pPr>
  </w:style>
  <w:style w:type="character" w:customStyle="1" w:styleId="AOIChar">
    <w:name w:val="AOI Char"/>
    <w:basedOn w:val="DefaultParagraphFont"/>
    <w:link w:val="AOI"/>
    <w:rsid w:val="00C848CE"/>
    <w:rPr>
      <w:rFonts w:ascii="Open Sans" w:hAnsi="Open Sans"/>
    </w:rPr>
  </w:style>
  <w:style w:type="table" w:styleId="TableGrid">
    <w:name w:val="Table Grid"/>
    <w:basedOn w:val="TableNormal"/>
    <w:uiPriority w:val="39"/>
    <w:rsid w:val="006648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48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483E"/>
  </w:style>
  <w:style w:type="paragraph" w:styleId="Footer">
    <w:name w:val="footer"/>
    <w:basedOn w:val="Normal"/>
    <w:link w:val="FooterChar"/>
    <w:uiPriority w:val="99"/>
    <w:unhideWhenUsed/>
    <w:rsid w:val="006648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483E"/>
  </w:style>
  <w:style w:type="character" w:customStyle="1" w:styleId="Heading1Char">
    <w:name w:val="Heading 1 Char"/>
    <w:basedOn w:val="DefaultParagraphFont"/>
    <w:link w:val="Heading1"/>
    <w:uiPriority w:val="9"/>
    <w:rsid w:val="0066483E"/>
    <w:rPr>
      <w:rFonts w:ascii="Lato Light" w:eastAsiaTheme="majorEastAsia" w:hAnsi="Lato Light" w:cstheme="majorBidi"/>
      <w:color w:val="582C5F" w:themeColor="accent2"/>
      <w:sz w:val="32"/>
      <w:szCs w:val="32"/>
    </w:rPr>
  </w:style>
  <w:style w:type="character" w:customStyle="1" w:styleId="Heading2Char">
    <w:name w:val="Heading 2 Char"/>
    <w:basedOn w:val="DefaultParagraphFont"/>
    <w:link w:val="Heading2"/>
    <w:uiPriority w:val="9"/>
    <w:semiHidden/>
    <w:rsid w:val="0066483E"/>
    <w:rPr>
      <w:rFonts w:ascii="Lato Light" w:eastAsiaTheme="majorEastAsia" w:hAnsi="Lato Light" w:cstheme="majorBidi"/>
      <w:color w:val="20476C" w:themeColor="accent1" w:themeShade="80"/>
      <w:sz w:val="26"/>
      <w:szCs w:val="26"/>
    </w:rPr>
  </w:style>
  <w:style w:type="paragraph" w:styleId="Title">
    <w:name w:val="Title"/>
    <w:basedOn w:val="Normal"/>
    <w:next w:val="Normal"/>
    <w:link w:val="TitleChar"/>
    <w:uiPriority w:val="10"/>
    <w:qFormat/>
    <w:rsid w:val="0066483E"/>
    <w:pPr>
      <w:spacing w:after="0" w:line="240" w:lineRule="auto"/>
      <w:contextualSpacing/>
    </w:pPr>
    <w:rPr>
      <w:rFonts w:ascii="Lato Light" w:eastAsiaTheme="majorEastAsia" w:hAnsi="Lato Light" w:cstheme="majorBidi"/>
      <w:color w:val="582C5F"/>
      <w:spacing w:val="-10"/>
      <w:kern w:val="28"/>
      <w:sz w:val="48"/>
      <w:szCs w:val="56"/>
    </w:rPr>
  </w:style>
  <w:style w:type="character" w:customStyle="1" w:styleId="TitleChar">
    <w:name w:val="Title Char"/>
    <w:basedOn w:val="DefaultParagraphFont"/>
    <w:link w:val="Title"/>
    <w:uiPriority w:val="10"/>
    <w:rsid w:val="0066483E"/>
    <w:rPr>
      <w:rFonts w:ascii="Lato Light" w:eastAsiaTheme="majorEastAsia" w:hAnsi="Lato Light" w:cstheme="majorBidi"/>
      <w:color w:val="582C5F"/>
      <w:spacing w:val="-10"/>
      <w:kern w:val="28"/>
      <w:sz w:val="48"/>
      <w:szCs w:val="56"/>
    </w:rPr>
  </w:style>
  <w:style w:type="paragraph" w:styleId="Subtitle">
    <w:name w:val="Subtitle"/>
    <w:basedOn w:val="Normal"/>
    <w:next w:val="Normal"/>
    <w:link w:val="SubtitleChar"/>
    <w:uiPriority w:val="11"/>
    <w:qFormat/>
    <w:rsid w:val="0066483E"/>
    <w:pPr>
      <w:numPr>
        <w:ilvl w:val="1"/>
      </w:numPr>
    </w:pPr>
    <w:rPr>
      <w:rFonts w:eastAsiaTheme="minorEastAsia"/>
      <w:color w:val="5A5A5A" w:themeColor="text1" w:themeTint="A5"/>
      <w:spacing w:val="15"/>
      <w:sz w:val="18"/>
    </w:rPr>
  </w:style>
  <w:style w:type="character" w:customStyle="1" w:styleId="SubtitleChar">
    <w:name w:val="Subtitle Char"/>
    <w:basedOn w:val="DefaultParagraphFont"/>
    <w:link w:val="Subtitle"/>
    <w:uiPriority w:val="11"/>
    <w:rsid w:val="0066483E"/>
    <w:rPr>
      <w:rFonts w:ascii="Open Sans" w:eastAsiaTheme="minorEastAsia" w:hAnsi="Open Sans"/>
      <w:color w:val="5A5A5A" w:themeColor="text1" w:themeTint="A5"/>
      <w:spacing w:val="15"/>
      <w:sz w:val="18"/>
    </w:rPr>
  </w:style>
  <w:style w:type="character" w:styleId="Strong">
    <w:name w:val="Strong"/>
    <w:basedOn w:val="DefaultParagraphFont"/>
    <w:uiPriority w:val="22"/>
    <w:qFormat/>
    <w:rsid w:val="0066483E"/>
    <w:rPr>
      <w:rFonts w:ascii="Open Sans" w:hAnsi="Open Sans"/>
      <w:b/>
      <w:bCs/>
      <w:color w:val="582C5F"/>
    </w:rPr>
  </w:style>
  <w:style w:type="character" w:styleId="Emphasis">
    <w:name w:val="Emphasis"/>
    <w:basedOn w:val="DefaultParagraphFont"/>
    <w:uiPriority w:val="20"/>
    <w:qFormat/>
    <w:rsid w:val="0066483E"/>
    <w:rPr>
      <w:rFonts w:ascii="Open Sans" w:hAnsi="Open Sans"/>
      <w:i/>
      <w:iCs/>
    </w:rPr>
  </w:style>
  <w:style w:type="paragraph" w:styleId="NoSpacing">
    <w:name w:val="No Spacing"/>
    <w:uiPriority w:val="1"/>
    <w:qFormat/>
    <w:rsid w:val="0066483E"/>
    <w:pPr>
      <w:spacing w:after="0" w:line="240" w:lineRule="auto"/>
    </w:pPr>
    <w:rPr>
      <w:rFonts w:ascii="Open Sans" w:hAnsi="Open Sans"/>
    </w:rPr>
  </w:style>
  <w:style w:type="paragraph" w:styleId="ListParagraph">
    <w:name w:val="List Paragraph"/>
    <w:basedOn w:val="Normal"/>
    <w:uiPriority w:val="34"/>
    <w:qFormat/>
    <w:rsid w:val="0066483E"/>
    <w:pPr>
      <w:ind w:left="720"/>
      <w:contextualSpacing/>
    </w:pPr>
  </w:style>
  <w:style w:type="paragraph" w:styleId="Quote">
    <w:name w:val="Quote"/>
    <w:basedOn w:val="Normal"/>
    <w:next w:val="Normal"/>
    <w:link w:val="QuoteChar"/>
    <w:uiPriority w:val="29"/>
    <w:qFormat/>
    <w:rsid w:val="0066483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6483E"/>
    <w:rPr>
      <w:rFonts w:ascii="Open Sans" w:hAnsi="Open Sans"/>
      <w:i/>
      <w:iCs/>
      <w:color w:val="404040" w:themeColor="text1" w:themeTint="BF"/>
    </w:rPr>
  </w:style>
  <w:style w:type="paragraph" w:styleId="IntenseQuote">
    <w:name w:val="Intense Quote"/>
    <w:basedOn w:val="Normal"/>
    <w:next w:val="Normal"/>
    <w:link w:val="IntenseQuoteChar"/>
    <w:uiPriority w:val="30"/>
    <w:qFormat/>
    <w:rsid w:val="0066483E"/>
    <w:pPr>
      <w:pBdr>
        <w:top w:val="single" w:sz="4" w:space="10" w:color="4E8ECB" w:themeColor="accent1"/>
        <w:bottom w:val="single" w:sz="4" w:space="10" w:color="4E8ECB" w:themeColor="accent1"/>
      </w:pBdr>
      <w:spacing w:before="360" w:after="360"/>
      <w:ind w:left="864" w:right="864"/>
      <w:jc w:val="center"/>
    </w:pPr>
    <w:rPr>
      <w:i/>
      <w:iCs/>
      <w:color w:val="20476C" w:themeColor="accent1" w:themeShade="80"/>
    </w:rPr>
  </w:style>
  <w:style w:type="character" w:customStyle="1" w:styleId="IntenseQuoteChar">
    <w:name w:val="Intense Quote Char"/>
    <w:basedOn w:val="DefaultParagraphFont"/>
    <w:link w:val="IntenseQuote"/>
    <w:uiPriority w:val="30"/>
    <w:rsid w:val="0066483E"/>
    <w:rPr>
      <w:rFonts w:ascii="Open Sans" w:hAnsi="Open Sans"/>
      <w:i/>
      <w:iCs/>
      <w:color w:val="20476C" w:themeColor="accent1" w:themeShade="80"/>
    </w:rPr>
  </w:style>
  <w:style w:type="character" w:styleId="SubtleEmphasis">
    <w:name w:val="Subtle Emphasis"/>
    <w:basedOn w:val="DefaultParagraphFont"/>
    <w:uiPriority w:val="19"/>
    <w:qFormat/>
    <w:rsid w:val="0066483E"/>
    <w:rPr>
      <w:rFonts w:ascii="Open Sans" w:hAnsi="Open Sans"/>
      <w:i/>
      <w:iCs/>
      <w:color w:val="404040" w:themeColor="text1" w:themeTint="BF"/>
    </w:rPr>
  </w:style>
  <w:style w:type="character" w:styleId="IntenseEmphasis">
    <w:name w:val="Intense Emphasis"/>
    <w:basedOn w:val="DefaultParagraphFont"/>
    <w:uiPriority w:val="21"/>
    <w:qFormat/>
    <w:rsid w:val="0066483E"/>
    <w:rPr>
      <w:rFonts w:ascii="Open Sans" w:hAnsi="Open Sans"/>
      <w:i/>
      <w:iCs/>
      <w:color w:val="20476C" w:themeColor="accent1" w:themeShade="80"/>
    </w:rPr>
  </w:style>
  <w:style w:type="character" w:styleId="IntenseReference">
    <w:name w:val="Intense Reference"/>
    <w:basedOn w:val="DefaultParagraphFont"/>
    <w:uiPriority w:val="32"/>
    <w:qFormat/>
    <w:rsid w:val="0066483E"/>
    <w:rPr>
      <w:b/>
      <w:bCs/>
      <w:smallCaps/>
      <w:color w:val="20476C" w:themeColor="accent1" w:themeShade="80"/>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SI Theme">
  <a:themeElements>
    <a:clrScheme name="CSI Brand">
      <a:dk1>
        <a:srgbClr val="000000"/>
      </a:dk1>
      <a:lt1>
        <a:srgbClr val="FFFFFF"/>
      </a:lt1>
      <a:dk2>
        <a:srgbClr val="939393"/>
      </a:dk2>
      <a:lt2>
        <a:srgbClr val="ECE6D6"/>
      </a:lt2>
      <a:accent1>
        <a:srgbClr val="4E8ECB"/>
      </a:accent1>
      <a:accent2>
        <a:srgbClr val="582C5F"/>
      </a:accent2>
      <a:accent3>
        <a:srgbClr val="B576A5"/>
      </a:accent3>
      <a:accent4>
        <a:srgbClr val="84B4DA"/>
      </a:accent4>
      <a:accent5>
        <a:srgbClr val="865293"/>
      </a:accent5>
      <a:accent6>
        <a:srgbClr val="B6D8F0"/>
      </a:accent6>
      <a:hlink>
        <a:srgbClr val="84B4DA"/>
      </a:hlink>
      <a:folHlink>
        <a:srgbClr val="B6A6C7"/>
      </a:folHlink>
    </a:clrScheme>
    <a:fontScheme name="CSI">
      <a:majorFont>
        <a:latin typeface="Lato"/>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SI Theme" id="{A7224C27-446D-4EC0-B0EE-D8D0973F6D64}" vid="{18BD693D-0595-45B6-B589-C9BE191D073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96e5562a-acd5-48fd-b351-3019e8ac05c4" xsi:nil="true"/>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F2390-6F41-4A53-80A8-9A6D31115B96}">
  <ds:schemaRefs>
    <ds:schemaRef ds:uri="http://schemas.microsoft.com/sharepoint/v3/contenttype/forms"/>
  </ds:schemaRefs>
</ds:datastoreItem>
</file>

<file path=customXml/itemProps2.xml><?xml version="1.0" encoding="utf-8"?>
<ds:datastoreItem xmlns:ds="http://schemas.openxmlformats.org/officeDocument/2006/customXml" ds:itemID="{1D087A8D-19B5-4EFA-91DD-E67809A085A2}">
  <ds:schemaRefs>
    <ds:schemaRef ds:uri="http://schemas.microsoft.com/office/2006/metadata/properties"/>
    <ds:schemaRef ds:uri="http://schemas.microsoft.com/office/infopath/2007/PartnerControls"/>
    <ds:schemaRef ds:uri="96e5562a-acd5-48fd-b351-3019e8ac05c4"/>
    <ds:schemaRef ds:uri="bc4d8b03-4e62-4820-8f1e-8615b11f99ba"/>
  </ds:schemaRefs>
</ds:datastoreItem>
</file>

<file path=customXml/itemProps3.xml><?xml version="1.0" encoding="utf-8"?>
<ds:datastoreItem xmlns:ds="http://schemas.openxmlformats.org/officeDocument/2006/customXml" ds:itemID="{D0D16A4E-85ED-4F61-B2E5-735717134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Robinson</dc:creator>
  <cp:keywords/>
  <dc:description/>
  <cp:lastModifiedBy>Philip Robinson</cp:lastModifiedBy>
  <cp:revision>18</cp:revision>
  <dcterms:created xsi:type="dcterms:W3CDTF">2022-12-08T15:07:00Z</dcterms:created>
  <dcterms:modified xsi:type="dcterms:W3CDTF">2024-10-01T13:22:00Z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