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000000"/>
          <w:sz w:val="52"/>
          <w:szCs w:val="52"/>
        </w:rPr>
        <w:t xml:space="preserve">CARTILAGE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B87333"/>
          <w:sz w:val="24"/>
          <w:szCs w:val="24"/>
        </w:rPr>
        <w:t xml:space="preserve">The Adaptive Rupture Zone</w:t>
      </w:r>
    </w:p>
    <w:p>
      <w:pPr>
        <w:spacing w:after="240" w:before="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Nascentia Eclectics LLC  —  Lexivon Entry  —  Standalone  —  2025–2026</w:t>
      </w: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WHAT IT IS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Cartilage is the adaptive rupture zone inside a system — personal, emotional, relational, operational, or structural. It is the part of the architecture designed to flex, compress, deform, and even tear so the system can shift configuration without catastrophic failure.</w:t>
      </w:r>
    </w:p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Cartilage is not metaphor. Cartilage is not psychology. Cartilage is not identity. Cartilage is mechanical.</w:t>
      </w:r>
    </w:p>
    <w:p>
      <w:pPr>
        <w:spacing w:after="60" w:before="60"/>
      </w:pPr>
    </w:p>
    <w:p>
      <w:pPr>
        <w:spacing w:after="120" w:before="120"/>
        <w:ind w:left="720"/>
      </w:pPr>
      <w:r>
        <w:rPr>
          <w:rFonts w:ascii="Arial" w:cs="Arial" w:eastAsia="Arial" w:hAnsi="Arial"/>
          <w:b/>
          <w:bCs/>
          <w:i/>
          <w:iCs/>
          <w:color w:val="B87333"/>
          <w:sz w:val="20"/>
          <w:szCs w:val="20"/>
        </w:rPr>
        <w:t xml:space="preserve">Cartilage ruptures are not emergencies. They are movement events.</w:t>
      </w:r>
    </w:p>
    <w:p>
      <w:pPr>
        <w:spacing w:after="60" w:before="6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Load-bearing flexibility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safe rupture zone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diagnostic hinge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pressure-release micro-mechanism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place where misaligned assumptions surface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movement engine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DOMAIN — WHERE CARTILAGE ACTIVATES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Cartilage operates in the micro-movement layer of the system. It activates when:</w:t>
      </w:r>
    </w:p>
    <w:p>
      <w:pPr>
        <w:spacing w:after="60" w:before="6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Tension accumulates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Articulation is needed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Assumptions are misaligned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Pressure exceeds local tolerance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system must reconfigure</w:t>
      </w:r>
    </w:p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Cartilage rupture is adaptive when it produces clarity, expansion, or new articulation.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NON-DOMAIN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Wall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GIMP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Emotional collapse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Rot rupture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Dissociation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Identity failure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Trauma response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Metaphysical symbolism</w:t>
      </w:r>
    </w:p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Cartilage is local, not global. It is micro, not macro.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CARTILAGE VS. ROT — DIAGNOSTIC DISTINCTION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3744"/>
        <w:gridCol w:w="3744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7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FEATURE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7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CARTILAGE RUPTURE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7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ROT RUPTURE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Function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Adaptive movement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Structural failure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Signal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Sharp clarity after tear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Confusion, shame, collapse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Emotional Tone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“Ah — there it is.”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“Something is wrong with me.”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Effect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Increased range of motion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Decreased capacity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Reveals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Misaligned assumptions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Unaddressed decay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Recovery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Quick integration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Prolonged destabilization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Response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Stay with it, articulate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Stabilize, reduce load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System Message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“This needed to move.”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“This needed support.”</w:t>
            </w:r>
          </w:p>
        </w:tc>
      </w:tr>
    </w:tbl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Cartilage ruptures expand the system. Rot ruptures expose where the system was already compromised.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HOW IT OPERATES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Cartilage functions by:</w:t>
      </w:r>
    </w:p>
    <w:p>
      <w:pPr>
        <w:spacing w:after="60" w:before="6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Allowing controlled rupture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Absorbing tension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Exposing hidden assumptions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Preventing catastrophic failure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Creating space for new articulation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Revealing the next viable configuration</w:t>
      </w:r>
    </w:p>
    <w:p>
      <w:pPr>
        <w:spacing w:after="60" w:before="60"/>
      </w:pPr>
    </w:p>
    <w:p>
      <w:pPr>
        <w:spacing w:after="120" w:before="120"/>
        <w:ind w:left="720"/>
      </w:pPr>
      <w:r>
        <w:rPr>
          <w:rFonts w:ascii="Arial" w:cs="Arial" w:eastAsia="Arial" w:hAnsi="Arial"/>
          <w:b/>
          <w:bCs/>
          <w:i/>
          <w:iCs/>
          <w:color w:val="B87333"/>
          <w:sz w:val="20"/>
          <w:szCs w:val="20"/>
        </w:rPr>
        <w:t xml:space="preserve">“This part can tear so the whole can move.”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STRUCTURAL POSITION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Cartilage belongs to the micro-movement architecture. It sits below the Wall and before Float. It does not replace or overlap the vessel-internal chain.</w:t>
      </w:r>
    </w:p>
    <w:p>
      <w:pPr>
        <w:spacing w:after="60" w:before="60"/>
      </w:pPr>
    </w:p>
    <w:p>
      <w:pPr>
        <w:spacing w:after="40" w:before="80"/>
        <w:jc w:val="center"/>
      </w:pPr>
      <w:r>
        <w:rPr>
          <w:rFonts w:ascii="Arial" w:cs="Arial" w:eastAsia="Arial" w:hAnsi="Arial"/>
          <w:b/>
          <w:bCs/>
          <w:color w:val="B87333"/>
          <w:sz w:val="20"/>
          <w:szCs w:val="20"/>
        </w:rPr>
        <w:t xml:space="preserve">MICRO:  Friction  →  Cartilage Rupture  →  Articulation</w:t>
      </w:r>
    </w:p>
    <w:p>
      <w:pPr>
        <w:spacing w:after="80" w:before="40"/>
        <w:jc w:val="center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MACRO:  GIMP  →  Wall  →  Float  →  Stabilization</w:t>
      </w:r>
    </w:p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Cartilage is the local hinge. Wall is the global limit. They do not contaminate each other.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HOW IT IS USED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practitioner uses cartilage logic to:</w:t>
      </w:r>
    </w:p>
    <w:p>
      <w:pPr>
        <w:spacing w:after="60" w:before="6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Identify adaptive vs. destructive rupture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Stay with discomfort long enough to see articulation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Avoid moralizing cracks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Prevent collapse into shame or identity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Allow the system to show its new shape</w:t>
      </w:r>
    </w:p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Cartilage is used to hold still long enough to see what the rupture is trying to do.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INTENDED EFFECT ON THE INDIVIDUAL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1.  Increased Emotional Range of Motion — discomfort becomes movement, not danger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2.  Reduced Shame &amp; Panic Response — rupture is no longer moralized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3.  Cleaner Decision-Making Under Pressure — rupture becomes clarity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4.  Better Boundary &amp; Load Management — the individual learns where to flex vs. reinforce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5.  A More Accurate Relationship With Pain — pain becomes diagnostic, not identity-forming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CROSS-REFERENCES — INTERNAL LXVN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Friction — directional resistance signal; often precedes cartilage rupture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Rot — maladaptive rupture; opposite of cartilage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GIMP — sets the architectural limits within which cartilage operates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WALL — global limit event; cartilage is the local hinge below the Wall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FLOAT — macro pressure-release that follows Wall; cartilage is micro pressure-release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S.I.F.T — filters inputs that overload cartilage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DISCERMA — identifies translation layer active during rupture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T.O.L.L.S — rupture reveals tolls previously hidden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Paradox Dual-Glyph — prevents recursion during rupture interpretation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Three Oceans — cartilage applies across self, others, and beyond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Altitude System — altitude determines rupture interpretation and recovery speed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Pain Principle — cartilage is the mechanism that makes pain diagnostic rather than identity-forming</w:t>
      </w:r>
    </w:p>
    <w:p>
      <w:pPr>
        <w:spacing w:after="60" w:before="60"/>
      </w:pPr>
    </w:p>
    <w:p>
      <w:pPr>
        <w:pBdr>
          <w:bottom w:val="single" w:color="CCCCCC" w:sz="2" w:space="1"/>
        </w:pBdr>
        <w:spacing w:after="80" w:before="80"/>
      </w:pPr>
    </w:p>
    <w:p>
      <w:pPr>
        <w:spacing w:after="60" w:before="60"/>
      </w:pPr>
    </w:p>
    <w:p>
      <w:pPr>
        <w:spacing w:after="60" w:before="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Status: LOCKED  —  Nascentia Eclectics LLC  —  Lexivon Archive  —  2025–2026</w:t>
      </w:r>
    </w:p>
    <w:p>
      <w:pPr>
        <w:spacing w:after="60" w:before="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Copyright © Nascentia Eclectics LLC. All rights reserved. Matthew Weston Williamson, Founder.</w:t>
      </w:r>
    </w:p>
    <w:p>
      <w:pPr>
        <w:spacing w:after="60" w:before="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USPTO Trademark Serial No. 99726218  —  NASCENTIA ECLECTICS  —  Classes 016 and 041  —  LIVE: PENDING</w:t>
      </w:r>
    </w:p>
    <w:p>
      <w:pPr>
        <w:spacing w:after="60" w:before="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This document constitutes proprietary philosophical doctrine. Unauthorized reproduction or distribution is prohibited.</w:t>
      </w:r>
    </w:p>
    <w:sectPr>
      <w:headerReference w:type="default" r:id="rId7"/>
      <w:footerReference w:type="default" r:id="rId8"/>
      <w:pgSz w:w="12240" w:h="15840" w:orient="portrait"/>
      <w:pgMar w:top="1440" w:right="1440" w:bottom="18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7333" w:sz="4" w:space="4"/>
      </w:pBdr>
      <w:tabs>
        <w:tab w:val="right" w:pos="9360"/>
      </w:tabs>
      <w:spacing w:after="0" w:before="120"/>
    </w:pPr>
    <w:r>
      <w:rPr>
        <w:rFonts w:ascii="Arial" w:cs="Arial" w:eastAsia="Arial" w:hAnsi="Arial"/>
        <w:color w:val="888888"/>
        <w:sz w:val="16"/>
        <w:szCs w:val="16"/>
      </w:rPr>
      <w:t xml:space="preserve">CARTILAGE  —  Nascentia Eclectics LLC  —  LXVN Archive</w:t>
    </w:r>
    <w:r>
      <w:rPr>
        <w:rFonts w:ascii="Arial" w:cs="Arial" w:eastAsia="Arial" w:hAnsi="Arial"/>
        <w:color w:val="888888"/>
        <w:sz w:val="16"/>
        <w:szCs w:val="16"/>
      </w:rPr>
      <w:tab/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7333" w:sz="4" w:space="4"/>
      </w:pBdr>
      <w:spacing w:after="120" w:before="0"/>
    </w:pPr>
    <w:r>
      <w:rPr>
        <w:rFonts w:ascii="Arial" w:cs="Arial" w:eastAsia="Arial" w:hAnsi="Arial"/>
        <w:caps/>
        <w:color w:val="888888"/>
        <w:sz w:val="16"/>
        <w:szCs w:val="16"/>
      </w:rPr>
      <w:t xml:space="preserve">NASCENTIA ECLECTICS LLC  —  LEXIVON ARCHIVE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×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2026-04-06T01:56:41.144Z</dcterms:created>
  <dcterms:modified xsi:type="dcterms:W3CDTF">2026-04-06T01:56:41.145Z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