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240"/>
      </w:pPr>
      <w:r>
        <w:rPr>
          <w:rFonts w:ascii="Arial" w:cs="Arial" w:eastAsia="Arial" w:hAnsi="Arial"/>
          <w:b/>
          <w:bCs/>
          <w:caps/>
          <w:color w:val="000000"/>
          <w:sz w:val="52"/>
          <w:szCs w:val="52"/>
        </w:rPr>
        <w:t xml:space="preserve">T.O.L.L.S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B87333"/>
          <w:sz w:val="22"/>
          <w:szCs w:val="22"/>
        </w:rPr>
        <w:t xml:space="preserve">Tactically Operational Living Latticework Substrate</w:t>
      </w:r>
    </w:p>
    <w:p>
      <w:pPr>
        <w:spacing w:after="240" w:before="0"/>
      </w:pPr>
      <w:r>
        <w:rPr>
          <w:rFonts w:ascii="Arial" w:cs="Arial" w:eastAsia="Arial" w:hAnsi="Arial"/>
          <w:color w:val="888888"/>
          <w:sz w:val="16"/>
          <w:szCs w:val="16"/>
        </w:rPr>
        <w:t xml:space="preserve">Nascentia Eclectics LLC  —  Lexivon Entry  —  Standalone  —  March 2026</w:t>
      </w:r>
    </w:p>
    <w:p>
      <w:pPr>
        <w:pBdr>
          <w:bottom w:val="single" w:color="B87333" w:sz="6" w:space="1"/>
        </w:pBdr>
        <w:spacing w:after="120" w:before="120"/>
      </w:pPr>
    </w:p>
    <w:p>
      <w:pPr>
        <w:spacing w:after="120" w:before="240"/>
      </w:pPr>
      <w:r>
        <w:rPr>
          <w:rFonts w:ascii="Arial" w:cs="Arial" w:eastAsia="Arial" w:hAnsi="Arial"/>
          <w:b/>
          <w:bCs/>
          <w:color w:val="B87333"/>
          <w:sz w:val="24"/>
          <w:szCs w:val="24"/>
        </w:rPr>
        <w:t xml:space="preserve">DEFINITION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The core framework of Nascentia Eclectics. Not doctrine — a living diagnostic substrate. Military precision married to organic evolution.</w:t>
      </w:r>
    </w:p>
    <w:p>
      <w:pPr>
        <w:spacing w:after="60" w:before="60"/>
      </w:pPr>
    </w:p>
    <w:p>
      <w:pPr>
        <w:spacing w:after="120" w:before="120"/>
        <w:ind w:left="720"/>
      </w:pPr>
      <w:r>
        <w:rPr>
          <w:rFonts w:ascii="Arial" w:cs="Arial" w:eastAsia="Arial" w:hAnsi="Arial"/>
          <w:b/>
          <w:bCs/>
          <w:i/>
          <w:iCs/>
          <w:color w:val="B87333"/>
          <w:sz w:val="20"/>
          <w:szCs w:val="20"/>
        </w:rPr>
        <w:t xml:space="preserve">“The structure you build so you stop paying tolls you never consciously agreed to.”</w:t>
      </w:r>
    </w:p>
    <w:p>
      <w:pPr>
        <w:spacing w:after="60" w:before="60"/>
      </w:pPr>
    </w:p>
    <w:p>
      <w:pPr>
        <w:spacing w:after="80" w:before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T.O.L.L.S is operational, not metaphysical. It is practitioner-side infrastructure — the active framework through which all Nascentian work is interpreted, contained, and routed.</w:t>
      </w:r>
    </w:p>
    <w:p>
      <w:pPr>
        <w:spacing w:after="60" w:before="60"/>
      </w:pPr>
    </w:p>
    <w:p>
      <w:pPr>
        <w:pBdr>
          <w:bottom w:val="single" w:color="B87333" w:sz="6" w:space="1"/>
        </w:pBdr>
        <w:spacing w:after="120" w:before="120"/>
      </w:pPr>
    </w:p>
    <w:p>
      <w:pPr>
        <w:spacing w:after="120" w:before="240"/>
      </w:pPr>
      <w:r>
        <w:rPr>
          <w:rFonts w:ascii="Arial" w:cs="Arial" w:eastAsia="Arial" w:hAnsi="Arial"/>
          <w:b/>
          <w:bCs/>
          <w:color w:val="B87333"/>
          <w:sz w:val="24"/>
          <w:szCs w:val="24"/>
        </w:rPr>
        <w:t xml:space="preserve">THE DAILY AUDIT QUESTION</w:t>
      </w:r>
    </w:p>
    <w:p>
      <w:pPr>
        <w:spacing w:after="120" w:before="120"/>
        <w:jc w:val="center"/>
      </w:pPr>
      <w:r>
        <w:rPr>
          <w:rFonts w:ascii="Arial" w:cs="Arial" w:eastAsia="Arial" w:hAnsi="Arial"/>
          <w:b/>
          <w:bCs/>
          <w:i/>
          <w:iCs/>
          <w:color w:val="B87333"/>
          <w:sz w:val="26"/>
          <w:szCs w:val="26"/>
        </w:rPr>
        <w:t xml:space="preserve">“What tolls have you paid today?”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Daily audit question. Morning diagnostic. Reading protocol. Shadow work entry point.</w:t>
      </w:r>
    </w:p>
    <w:p>
      <w:pPr>
        <w:spacing w:after="60" w:before="60"/>
      </w:pPr>
    </w:p>
    <w:p>
      <w:pPr>
        <w:pBdr>
          <w:bottom w:val="single" w:color="B87333" w:sz="6" w:space="1"/>
        </w:pBdr>
        <w:spacing w:after="120" w:before="120"/>
      </w:pPr>
    </w:p>
    <w:p>
      <w:pPr>
        <w:spacing w:after="120" w:before="240"/>
      </w:pPr>
      <w:r>
        <w:rPr>
          <w:rFonts w:ascii="Arial" w:cs="Arial" w:eastAsia="Arial" w:hAnsi="Arial"/>
          <w:b/>
          <w:bCs/>
          <w:color w:val="B87333"/>
          <w:sz w:val="24"/>
          <w:szCs w:val="24"/>
        </w:rPr>
        <w:t xml:space="preserve">TOLL = COST OF PASSAGE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You don’t own the road. Someone else controls the gate. Every crossing extracts something. T.O.L.L.S names what’s being extracted.</w:t>
      </w:r>
    </w:p>
    <w:p>
      <w:pPr>
        <w:spacing w:after="6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800"/>
        <w:gridCol w:w="2200"/>
        <w:gridCol w:w="25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8733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TOLL TYPE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8733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WHAT IT COSTS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8733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WHO COLLECTS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8733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SOVEREIGNTY IMPACT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Economic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Money, time, energy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Systems, employers, obligations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Low — recoverable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Social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Performing, masking, code-switching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Groups, culture, approval structures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Medium — cumulative drain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Psychological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What you pretend, what you hide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Self-narrative, others’ expectations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High — identity erosion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Existential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Agency surrendered for safety/access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Fear, dependency, social architecture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Critical — sovereignty fracture</w:t>
            </w:r>
          </w:p>
        </w:tc>
      </w:tr>
    </w:tbl>
    <w:p>
      <w:pPr>
        <w:spacing w:after="60" w:before="60"/>
      </w:pPr>
    </w:p>
    <w:p>
      <w:pPr>
        <w:pBdr>
          <w:bottom w:val="single" w:color="B87333" w:sz="6" w:space="1"/>
        </w:pBdr>
        <w:spacing w:after="120" w:before="120"/>
      </w:pPr>
    </w:p>
    <w:p>
      <w:pPr>
        <w:spacing w:after="120" w:before="240"/>
      </w:pPr>
      <w:r>
        <w:rPr>
          <w:rFonts w:ascii="Arial" w:cs="Arial" w:eastAsia="Arial" w:hAnsi="Arial"/>
          <w:b/>
          <w:bCs/>
          <w:color w:val="B87333"/>
          <w:sz w:val="24"/>
          <w:szCs w:val="24"/>
        </w:rPr>
        <w:t xml:space="preserve">THE INVERSION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You’re not paying tolls anymore.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You’re identifying what you’ve been paying.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Then building infrastructure that eliminates the booth.</w:t>
      </w:r>
    </w:p>
    <w:p>
      <w:pPr>
        <w:spacing w:after="60" w:before="60"/>
      </w:pPr>
    </w:p>
    <w:p>
      <w:pPr>
        <w:pBdr>
          <w:bottom w:val="single" w:color="B87333" w:sz="6" w:space="1"/>
        </w:pBdr>
        <w:spacing w:after="120" w:before="120"/>
      </w:pPr>
    </w:p>
    <w:p>
      <w:pPr>
        <w:spacing w:after="120" w:before="240"/>
      </w:pPr>
      <w:r>
        <w:rPr>
          <w:rFonts w:ascii="Arial" w:cs="Arial" w:eastAsia="Arial" w:hAnsi="Arial"/>
          <w:b/>
          <w:bCs/>
          <w:color w:val="B87333"/>
          <w:sz w:val="24"/>
          <w:szCs w:val="24"/>
        </w:rPr>
        <w:t xml:space="preserve">ACRONYM ARCHITECTURE</w:t>
      </w:r>
    </w:p>
    <w:p>
      <w:pPr>
        <w:spacing w:after="6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"/>
        <w:gridCol w:w="2000"/>
        <w:gridCol w:w="6424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8733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LETTER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8733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WORD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8733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OPERATIONAL MEANING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Tactical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Precision, intentional, combat-ready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O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Operational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Active, functional, in-use right now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Living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Evolving, adaptive, organic — not fixed doctrine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Latticework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Structured but permeable, networked, cross-linked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Substrate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Foundation, mycelial intelligence, what everything runs on</w:t>
            </w:r>
          </w:p>
        </w:tc>
      </w:tr>
    </w:tbl>
    <w:p>
      <w:pPr>
        <w:spacing w:after="60" w:before="60"/>
      </w:pPr>
    </w:p>
    <w:p>
      <w:pPr>
        <w:pBdr>
          <w:bottom w:val="single" w:color="B87333" w:sz="6" w:space="1"/>
        </w:pBdr>
        <w:spacing w:after="120" w:before="120"/>
      </w:pPr>
    </w:p>
    <w:p>
      <w:pPr>
        <w:spacing w:after="120" w:before="240"/>
      </w:pPr>
      <w:r>
        <w:rPr>
          <w:rFonts w:ascii="Arial" w:cs="Arial" w:eastAsia="Arial" w:hAnsi="Arial"/>
          <w:b/>
          <w:bCs/>
          <w:color w:val="B87333"/>
          <w:sz w:val="24"/>
          <w:szCs w:val="24"/>
        </w:rPr>
        <w:t xml:space="preserve">DAILY AUDIT — ENTRY QUESTIONS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What did you surrender today?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What compromises did you make?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What price did you pay to cross into someone else’s territory?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Where did you give up sovereignty for access, approval, or safety?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Who collected?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What did you get in return?</w:t>
      </w:r>
    </w:p>
    <w:p>
      <w:pPr>
        <w:spacing w:after="60" w:before="60"/>
      </w:pPr>
    </w:p>
    <w:p>
      <w:pPr>
        <w:pBdr>
          <w:bottom w:val="single" w:color="B87333" w:sz="6" w:space="1"/>
        </w:pBdr>
        <w:spacing w:after="120" w:before="120"/>
      </w:pPr>
    </w:p>
    <w:p>
      <w:pPr>
        <w:spacing w:after="120" w:before="240"/>
      </w:pPr>
      <w:r>
        <w:rPr>
          <w:rFonts w:ascii="Arial" w:cs="Arial" w:eastAsia="Arial" w:hAnsi="Arial"/>
          <w:b/>
          <w:bCs/>
          <w:color w:val="B87333"/>
          <w:sz w:val="24"/>
          <w:szCs w:val="24"/>
        </w:rPr>
        <w:t xml:space="preserve">OPERATIONAL EXAMPLE</w:t>
      </w:r>
    </w:p>
    <w:p>
      <w:pPr>
        <w:spacing w:after="80" w:before="8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“Before touching the cards, ask: What tolls have I already paid today? Who collected them? What did I get in return?”</w:t>
      </w:r>
    </w:p>
    <w:p>
      <w:pPr>
        <w:spacing w:after="60" w:before="60"/>
      </w:pPr>
    </w:p>
    <w:p>
      <w:pPr>
        <w:pBdr>
          <w:bottom w:val="single" w:color="B87333" w:sz="6" w:space="1"/>
        </w:pBdr>
        <w:spacing w:after="120" w:before="120"/>
      </w:pPr>
    </w:p>
    <w:p>
      <w:pPr>
        <w:spacing w:after="120" w:before="240"/>
      </w:pPr>
      <w:r>
        <w:rPr>
          <w:rFonts w:ascii="Arial" w:cs="Arial" w:eastAsia="Arial" w:hAnsi="Arial"/>
          <w:b/>
          <w:bCs/>
          <w:color w:val="B87333"/>
          <w:sz w:val="24"/>
          <w:szCs w:val="24"/>
        </w:rPr>
        <w:t xml:space="preserve">CROSS-REFERENCES — INTERNAL LXVN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Sovereignty — T.O.L.L.S is the audit infrastructure for sovereignty maintenance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Pain Principle — tolls are pain read as cost, not verdict; the audit names the mechanism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SPS-5 (Social Prosthetic System) — social tolls map directly to SPS dependency structures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Altitude / Emotional Tiers System — altitude at time of toll payment determines how cost registers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DISCERMA — differential translation of the same toll across multiple contextual filters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NX-AIVP v1 — T.O.L.L.S evaluation protocol for cross-instance verification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GIMP — some tolls are architectural; the GIMP sets the ceiling on which tolls are avoidable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Wall — unpaid tolls accumulate; the Auditor gets bigger; Wall as the toll collector arriving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Echo — retelling of toll events introduces signal degradation; original cost may be obscured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S.I.F.T — the Nascentian addition: what do they want you to do with this toll?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Matthew’s Principle — tolls compound; gain compression applies to sovereignty recovery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The Mechanism Feeds The Mechanism — unpaid tolls feed the inverse mechanism; avoidance compounds</w:t>
      </w:r>
    </w:p>
    <w:p>
      <w:pPr>
        <w:spacing w:after="60" w:before="60"/>
      </w:pPr>
    </w:p>
    <w:p>
      <w:pPr>
        <w:pBdr>
          <w:bottom w:val="single" w:color="CCCCCC" w:sz="2" w:space="1"/>
        </w:pBdr>
        <w:spacing w:after="80" w:before="80"/>
      </w:pPr>
    </w:p>
    <w:p>
      <w:pPr>
        <w:spacing w:after="60" w:before="60"/>
      </w:pPr>
    </w:p>
    <w:p>
      <w:pPr>
        <w:spacing w:after="120" w:before="240"/>
      </w:pPr>
      <w:r>
        <w:rPr>
          <w:rFonts w:ascii="Arial" w:cs="Arial" w:eastAsia="Arial" w:hAnsi="Arial"/>
          <w:b/>
          <w:bCs/>
          <w:color w:val="B87333"/>
          <w:sz w:val="24"/>
          <w:szCs w:val="24"/>
        </w:rPr>
        <w:t xml:space="preserve">EXTERNAL REFERENCES — LINEAGE TRANSPARENCY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T.O.L.L.S is Nascentian doctrine. External references are for lineage transparency only.</w:t>
      </w:r>
    </w:p>
    <w:p>
      <w:pPr>
        <w:spacing w:after="60" w:before="60"/>
      </w:pP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T.O.L.L.S anchor image (locked March 2026): Female figure, cross-legged, head back, eyes closed, papers scattered (“WHAT I OWE,” “WHAT I COLLECTED”). The Auditor (bald, grotesque grin, pencil in hand) looms behind her — she doesn’t see him. Alchemical symbols on wall. Generated Nightcafe @Nascentia_Eclectics. Figure = post-toll. Auditor = every system that collected while she wasn’t looking. Papers = the ledger she never agreed to sign.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Foucault, Michel — disciplinary systems and the invisible extraction of compliance; Discipline and Punish (1975) — lineage only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Goffman, Erving — social performance and the cost of code-switching; The Presentation of Self in Everyday Life (1959) — lineage only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Bourdieu, Pierre — social capital, cultural capital, and the hidden costs of field navigation; Distinction (1984) — lineage only</w:t>
      </w:r>
    </w:p>
    <w:p>
      <w:pPr>
        <w:spacing w:after="60" w:before="60"/>
      </w:pPr>
    </w:p>
    <w:p>
      <w:pPr>
        <w:pBdr>
          <w:bottom w:val="single" w:color="CCCCCC" w:sz="2" w:space="1"/>
        </w:pBdr>
        <w:spacing w:after="80" w:before="80"/>
      </w:pPr>
    </w:p>
    <w:p>
      <w:pPr>
        <w:spacing w:after="60" w:before="60"/>
      </w:pPr>
    </w:p>
    <w:p>
      <w:pPr>
        <w:spacing w:after="60" w:before="60"/>
      </w:pPr>
      <w:r>
        <w:rPr>
          <w:rFonts w:ascii="Arial" w:cs="Arial" w:eastAsia="Arial" w:hAnsi="Arial"/>
          <w:color w:val="888888"/>
          <w:sz w:val="16"/>
          <w:szCs w:val="16"/>
        </w:rPr>
        <w:t xml:space="preserve">Status: LOCKED  —  Nascentia Eclectics LLC  —  Lexivon Archive  —  March 2026</w:t>
      </w:r>
    </w:p>
    <w:p>
      <w:pPr>
        <w:spacing w:after="60" w:before="60"/>
      </w:pPr>
      <w:r>
        <w:rPr>
          <w:rFonts w:ascii="Arial" w:cs="Arial" w:eastAsia="Arial" w:hAnsi="Arial"/>
          <w:color w:val="888888"/>
          <w:sz w:val="16"/>
          <w:szCs w:val="16"/>
        </w:rPr>
        <w:t xml:space="preserve">Copyright © Nascentia Eclectics LLC. All rights reserved. Matthew Weston Williamson, Founder.</w:t>
      </w:r>
    </w:p>
    <w:p>
      <w:pPr>
        <w:spacing w:after="60" w:before="60"/>
      </w:pPr>
      <w:r>
        <w:rPr>
          <w:rFonts w:ascii="Arial" w:cs="Arial" w:eastAsia="Arial" w:hAnsi="Arial"/>
          <w:color w:val="888888"/>
          <w:sz w:val="16"/>
          <w:szCs w:val="16"/>
        </w:rPr>
        <w:t xml:space="preserve">USPTO Trademark Serial No. 99726218  —  NASCENTIA ECLECTICS  —  Classes 016 and 041  —  LIVE: PENDING</w:t>
      </w:r>
    </w:p>
    <w:p>
      <w:pPr>
        <w:spacing w:after="60" w:before="60"/>
      </w:pPr>
      <w:r>
        <w:rPr>
          <w:rFonts w:ascii="Arial" w:cs="Arial" w:eastAsia="Arial" w:hAnsi="Arial"/>
          <w:color w:val="888888"/>
          <w:sz w:val="16"/>
          <w:szCs w:val="16"/>
        </w:rPr>
        <w:t xml:space="preserve">This document constitutes proprietary philosophical doctrine. Unauthorized reproduction or distribution is prohibited.</w:t>
      </w:r>
    </w:p>
    <w:sectPr>
      <w:headerReference w:type="default" r:id="rId7"/>
      <w:footerReference w:type="default" r:id="rId8"/>
      <w:pgSz w:w="12240" w:h="15840" w:orient="portrait"/>
      <w:pgMar w:top="1440" w:right="1440" w:bottom="18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B87333" w:sz="4" w:space="4"/>
      </w:pBdr>
      <w:tabs>
        <w:tab w:val="right" w:pos="9360"/>
      </w:tabs>
      <w:spacing w:after="0" w:before="120"/>
    </w:pPr>
    <w:r>
      <w:rPr>
        <w:rFonts w:ascii="Arial" w:cs="Arial" w:eastAsia="Arial" w:hAnsi="Arial"/>
        <w:color w:val="888888"/>
        <w:sz w:val="16"/>
        <w:szCs w:val="16"/>
      </w:rPr>
      <w:t xml:space="preserve">T.O.L.L.S  —  Nascentia Eclectics LLC  —  LXVN Archive</w:t>
    </w:r>
    <w:r>
      <w:rPr>
        <w:rFonts w:ascii="Arial" w:cs="Arial" w:eastAsia="Arial" w:hAnsi="Arial"/>
        <w:color w:val="888888"/>
        <w:sz w:val="16"/>
        <w:szCs w:val="16"/>
      </w:rPr>
      <w:tab/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87333" w:sz="4" w:space="4"/>
      </w:pBdr>
      <w:spacing w:after="120" w:before="0"/>
    </w:pPr>
    <w:r>
      <w:rPr>
        <w:rFonts w:ascii="Arial" w:cs="Arial" w:eastAsia="Arial" w:hAnsi="Arial"/>
        <w:caps/>
        <w:color w:val="888888"/>
        <w:sz w:val="16"/>
        <w:szCs w:val="16"/>
      </w:rPr>
      <w:t xml:space="preserve">NASCENTIA ECLECTICS LLC  —  LEXIVON ARCHIVE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2026-04-10T16:06:32.937Z</dcterms:created>
  <dcterms:modified xsi:type="dcterms:W3CDTF">2026-04-10T16:06:32.938Z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