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1489" w14:textId="19235C9A" w:rsidR="00162F4A" w:rsidRPr="00162F4A" w:rsidRDefault="00162F4A" w:rsidP="00162F4A">
      <w:pPr>
        <w:spacing w:before="100" w:beforeAutospacing="1" w:after="100" w:afterAutospacing="1"/>
        <w:jc w:val="center"/>
        <w:outlineLvl w:val="0"/>
        <w:rPr>
          <w:rFonts w:eastAsia="Times New Roman" w:cs="Times New Roman"/>
          <w:b/>
          <w:bCs/>
          <w:kern w:val="36"/>
          <w14:ligatures w14:val="none"/>
        </w:rPr>
      </w:pPr>
      <w:r w:rsidRPr="00162F4A">
        <w:rPr>
          <w:rFonts w:eastAsia="Times New Roman" w:cs="Times New Roman"/>
          <w:b/>
          <w:bCs/>
          <w:kern w:val="36"/>
          <w14:ligatures w14:val="none"/>
        </w:rPr>
        <w:t>POLICY POSITION ON CHAMPIONING TRANSPARENCY IN CURRICULUM, BUDGET, AND DATA COLLECTION</w:t>
      </w:r>
    </w:p>
    <w:p w14:paraId="61449C17" w14:textId="77777777" w:rsidR="00162F4A" w:rsidRPr="00162F4A" w:rsidRDefault="00162F4A" w:rsidP="00162F4A">
      <w:pPr>
        <w:spacing w:before="100" w:beforeAutospacing="1" w:after="100" w:afterAutospacing="1"/>
        <w:jc w:val="center"/>
        <w:outlineLvl w:val="1"/>
        <w:rPr>
          <w:rFonts w:eastAsia="Times New Roman" w:cs="Times New Roman"/>
          <w:b/>
          <w:bCs/>
          <w:kern w:val="0"/>
          <w14:ligatures w14:val="none"/>
        </w:rPr>
      </w:pPr>
      <w:r w:rsidRPr="00162F4A">
        <w:rPr>
          <w:rFonts w:eastAsia="Times New Roman" w:cs="Times New Roman"/>
          <w:b/>
          <w:bCs/>
          <w:kern w:val="0"/>
          <w14:ligatures w14:val="none"/>
        </w:rPr>
        <w:t>Introduction</w:t>
      </w:r>
    </w:p>
    <w:p w14:paraId="202513C5" w14:textId="77777777" w:rsidR="00162F4A" w:rsidRPr="00162F4A" w:rsidRDefault="00162F4A" w:rsidP="00162F4A">
      <w:pPr>
        <w:spacing w:before="100" w:beforeAutospacing="1" w:after="100" w:afterAutospacing="1"/>
        <w:rPr>
          <w:rFonts w:eastAsia="Times New Roman" w:cs="Times New Roman"/>
          <w:kern w:val="0"/>
          <w14:ligatures w14:val="none"/>
        </w:rPr>
      </w:pPr>
      <w:r w:rsidRPr="00162F4A">
        <w:rPr>
          <w:rFonts w:eastAsia="Times New Roman" w:cs="Times New Roman"/>
          <w:kern w:val="0"/>
          <w14:ligatures w14:val="none"/>
        </w:rPr>
        <w:t>As a candidate for the Leavenworth School Board in Kansas, I pledge to prioritize transparency in our schools’ curriculum, budget, and data collection practices. Parents, guardians, and voters deserve clear, accessible information to actively participate in shaping our children’s education. My commitment is rooted in the principles of the U.S. Constitution, Kansas state law, and the fundamental right of our community to hold public institutions accountable.</w:t>
      </w:r>
    </w:p>
    <w:p w14:paraId="4974383E" w14:textId="77777777" w:rsidR="00162F4A" w:rsidRPr="00162F4A" w:rsidRDefault="00162F4A" w:rsidP="00162F4A">
      <w:pPr>
        <w:spacing w:before="100" w:beforeAutospacing="1" w:after="100" w:afterAutospacing="1"/>
        <w:jc w:val="center"/>
        <w:outlineLvl w:val="1"/>
        <w:rPr>
          <w:rFonts w:eastAsia="Times New Roman" w:cs="Times New Roman"/>
          <w:b/>
          <w:bCs/>
          <w:kern w:val="0"/>
          <w14:ligatures w14:val="none"/>
        </w:rPr>
      </w:pPr>
      <w:r w:rsidRPr="00162F4A">
        <w:rPr>
          <w:rFonts w:eastAsia="Times New Roman" w:cs="Times New Roman"/>
          <w:b/>
          <w:bCs/>
          <w:kern w:val="0"/>
          <w14:ligatures w14:val="none"/>
        </w:rPr>
        <w:t>Legal and Constitutional Basis</w:t>
      </w:r>
    </w:p>
    <w:p w14:paraId="56B2A092" w14:textId="632ABF19" w:rsidR="00162F4A" w:rsidRPr="00162F4A" w:rsidRDefault="00162F4A" w:rsidP="00AA471C">
      <w:pPr>
        <w:spacing w:after="100" w:afterAutospacing="1"/>
        <w:ind w:left="360"/>
        <w:rPr>
          <w:rFonts w:eastAsia="Times New Roman" w:cs="Times New Roman"/>
          <w:kern w:val="0"/>
          <w14:ligatures w14:val="none"/>
        </w:rPr>
      </w:pPr>
      <w:r w:rsidRPr="00162F4A">
        <w:rPr>
          <w:rFonts w:eastAsia="Times New Roman" w:cs="Times New Roman"/>
          <w:b/>
          <w:bCs/>
          <w:kern w:val="0"/>
          <w14:ligatures w14:val="none"/>
        </w:rPr>
        <w:t>U.S. Constitution, First Amendment</w:t>
      </w:r>
      <w:r w:rsidRPr="00162F4A">
        <w:rPr>
          <w:rFonts w:eastAsia="Times New Roman" w:cs="Times New Roman"/>
          <w:kern w:val="0"/>
          <w14:ligatures w14:val="none"/>
        </w:rPr>
        <w:t>: The First Amendment guarantees parents and voters the right to free speech and to petition the government for redress of grievances, enabling informed public discourse through transparent school policies.</w:t>
      </w:r>
      <w:r w:rsidRPr="00162F4A">
        <w:rPr>
          <w:rFonts w:eastAsia="Times New Roman" w:cs="Times New Roman"/>
          <w:kern w:val="0"/>
          <w:vertAlign w:val="superscript"/>
          <w14:ligatures w14:val="none"/>
        </w:rPr>
        <w:t>1</w:t>
      </w:r>
    </w:p>
    <w:p w14:paraId="7FB66F31" w14:textId="19607CC5" w:rsidR="00162F4A" w:rsidRPr="00162F4A" w:rsidRDefault="00162F4A" w:rsidP="00AA471C">
      <w:pPr>
        <w:spacing w:after="100" w:afterAutospacing="1"/>
        <w:ind w:left="360"/>
        <w:rPr>
          <w:rFonts w:eastAsia="Times New Roman" w:cs="Times New Roman"/>
          <w:kern w:val="0"/>
          <w14:ligatures w14:val="none"/>
        </w:rPr>
      </w:pPr>
      <w:r w:rsidRPr="00162F4A">
        <w:rPr>
          <w:rFonts w:eastAsia="Times New Roman" w:cs="Times New Roman"/>
          <w:b/>
          <w:bCs/>
          <w:kern w:val="0"/>
          <w14:ligatures w14:val="none"/>
        </w:rPr>
        <w:t>U.S. Constitution, Fourteenth Amendment</w:t>
      </w:r>
      <w:r w:rsidRPr="00162F4A">
        <w:rPr>
          <w:rFonts w:eastAsia="Times New Roman" w:cs="Times New Roman"/>
          <w:kern w:val="0"/>
          <w14:ligatures w14:val="none"/>
        </w:rPr>
        <w:t>: The Due Process Clause ensures fairness in public institutions, requiring transparent processes in curriculum, budgeting, and data collection to uphold equitable governance.</w:t>
      </w:r>
      <w:r w:rsidRPr="00162F4A">
        <w:rPr>
          <w:rFonts w:eastAsia="Times New Roman" w:cs="Times New Roman"/>
          <w:kern w:val="0"/>
          <w:vertAlign w:val="superscript"/>
          <w14:ligatures w14:val="none"/>
        </w:rPr>
        <w:t>2</w:t>
      </w:r>
    </w:p>
    <w:p w14:paraId="14D4A550" w14:textId="77777777" w:rsidR="00162F4A" w:rsidRPr="00162F4A" w:rsidRDefault="00162F4A" w:rsidP="00AA471C">
      <w:pPr>
        <w:spacing w:after="100" w:afterAutospacing="1"/>
        <w:ind w:left="360"/>
        <w:rPr>
          <w:rFonts w:eastAsia="Times New Roman" w:cs="Times New Roman"/>
          <w:kern w:val="0"/>
          <w14:ligatures w14:val="none"/>
        </w:rPr>
      </w:pPr>
      <w:r w:rsidRPr="00162F4A">
        <w:rPr>
          <w:rFonts w:eastAsia="Times New Roman" w:cs="Times New Roman"/>
          <w:b/>
          <w:bCs/>
          <w:kern w:val="0"/>
          <w14:ligatures w14:val="none"/>
        </w:rPr>
        <w:t>Family Educational Rights and Privacy Act (FERPA)</w:t>
      </w:r>
      <w:r w:rsidRPr="00162F4A">
        <w:rPr>
          <w:rFonts w:eastAsia="Times New Roman" w:cs="Times New Roman"/>
          <w:kern w:val="0"/>
          <w14:ligatures w14:val="none"/>
        </w:rPr>
        <w:t xml:space="preserve">: FERPA protects student privacy while ensuring parents’ access to their children’s educational records, reinforcing parental </w:t>
      </w:r>
      <w:proofErr w:type="gramStart"/>
      <w:r w:rsidRPr="00162F4A">
        <w:rPr>
          <w:rFonts w:eastAsia="Times New Roman" w:cs="Times New Roman"/>
          <w:kern w:val="0"/>
          <w14:ligatures w14:val="none"/>
        </w:rPr>
        <w:t>oversight.[</w:t>
      </w:r>
      <w:proofErr w:type="gramEnd"/>
      <w:r w:rsidRPr="00162F4A">
        <w:rPr>
          <w:rFonts w:eastAsia="Times New Roman" w:cs="Times New Roman"/>
          <w:kern w:val="0"/>
          <w14:ligatures w14:val="none"/>
        </w:rPr>
        <w:t>^3]</w:t>
      </w:r>
    </w:p>
    <w:p w14:paraId="3CD6A0F0" w14:textId="454FDFEE" w:rsidR="00162F4A" w:rsidRPr="00162F4A" w:rsidRDefault="00162F4A" w:rsidP="00AA471C">
      <w:pPr>
        <w:spacing w:after="100" w:afterAutospacing="1"/>
        <w:ind w:left="360"/>
        <w:rPr>
          <w:rFonts w:eastAsia="Times New Roman" w:cs="Times New Roman"/>
          <w:kern w:val="0"/>
          <w14:ligatures w14:val="none"/>
        </w:rPr>
      </w:pPr>
      <w:r w:rsidRPr="00162F4A">
        <w:rPr>
          <w:rFonts w:eastAsia="Times New Roman" w:cs="Times New Roman"/>
          <w:b/>
          <w:bCs/>
          <w:kern w:val="0"/>
          <w14:ligatures w14:val="none"/>
        </w:rPr>
        <w:t>Kansas Open Records Act (KORA)</w:t>
      </w:r>
      <w:r w:rsidRPr="00162F4A">
        <w:rPr>
          <w:rFonts w:eastAsia="Times New Roman" w:cs="Times New Roman"/>
          <w:kern w:val="0"/>
          <w14:ligatures w14:val="none"/>
        </w:rPr>
        <w:t>: KORA grants public access to school district records, ensuring transparency in public education.</w:t>
      </w:r>
      <w:r w:rsidRPr="00162F4A">
        <w:rPr>
          <w:rFonts w:eastAsia="Times New Roman" w:cs="Times New Roman"/>
          <w:kern w:val="0"/>
          <w:vertAlign w:val="superscript"/>
          <w14:ligatures w14:val="none"/>
        </w:rPr>
        <w:t>4</w:t>
      </w:r>
    </w:p>
    <w:p w14:paraId="10E8FDD8" w14:textId="52DE8C6B" w:rsidR="00162F4A" w:rsidRPr="00162F4A" w:rsidRDefault="00162F4A" w:rsidP="00AA471C">
      <w:pPr>
        <w:spacing w:after="100" w:afterAutospacing="1"/>
        <w:ind w:left="360"/>
        <w:rPr>
          <w:rFonts w:eastAsia="Times New Roman" w:cs="Times New Roman"/>
          <w:kern w:val="0"/>
          <w14:ligatures w14:val="none"/>
        </w:rPr>
      </w:pPr>
      <w:r w:rsidRPr="00162F4A">
        <w:rPr>
          <w:rFonts w:eastAsia="Times New Roman" w:cs="Times New Roman"/>
          <w:b/>
          <w:bCs/>
          <w:kern w:val="0"/>
          <w14:ligatures w14:val="none"/>
        </w:rPr>
        <w:t>Kansas Open Meetings Act (KOMA)</w:t>
      </w:r>
      <w:r w:rsidRPr="00162F4A">
        <w:rPr>
          <w:rFonts w:eastAsia="Times New Roman" w:cs="Times New Roman"/>
          <w:kern w:val="0"/>
          <w14:ligatures w14:val="none"/>
        </w:rPr>
        <w:t>: KOMA mandates open school board meetings to foster public participation and accountability.</w:t>
      </w:r>
      <w:r w:rsidRPr="00162F4A">
        <w:rPr>
          <w:rFonts w:eastAsia="Times New Roman" w:cs="Times New Roman"/>
          <w:kern w:val="0"/>
          <w:vertAlign w:val="superscript"/>
          <w14:ligatures w14:val="none"/>
        </w:rPr>
        <w:t>5</w:t>
      </w:r>
    </w:p>
    <w:p w14:paraId="555EF519" w14:textId="0FE81C18" w:rsidR="00162F4A" w:rsidRPr="00162F4A" w:rsidRDefault="00162F4A" w:rsidP="00AA471C">
      <w:pPr>
        <w:spacing w:after="100" w:afterAutospacing="1"/>
        <w:ind w:left="360"/>
        <w:rPr>
          <w:rFonts w:eastAsia="Times New Roman" w:cs="Times New Roman"/>
          <w:kern w:val="0"/>
          <w14:ligatures w14:val="none"/>
        </w:rPr>
      </w:pPr>
      <w:r w:rsidRPr="00162F4A">
        <w:rPr>
          <w:rFonts w:eastAsia="Times New Roman" w:cs="Times New Roman"/>
          <w:b/>
          <w:bCs/>
          <w:kern w:val="0"/>
          <w14:ligatures w14:val="none"/>
        </w:rPr>
        <w:t>Kansas Education Law</w:t>
      </w:r>
      <w:r w:rsidRPr="00162F4A">
        <w:rPr>
          <w:rFonts w:eastAsia="Times New Roman" w:cs="Times New Roman"/>
          <w:kern w:val="0"/>
          <w14:ligatures w14:val="none"/>
        </w:rPr>
        <w:t>: Kansas law empowers school boards to oversee curriculum and budgets with a responsibility to act transparently.</w:t>
      </w:r>
      <w:r w:rsidRPr="00162F4A">
        <w:rPr>
          <w:rFonts w:eastAsia="Times New Roman" w:cs="Times New Roman"/>
          <w:kern w:val="0"/>
          <w:vertAlign w:val="superscript"/>
          <w14:ligatures w14:val="none"/>
        </w:rPr>
        <w:t>6</w:t>
      </w:r>
    </w:p>
    <w:p w14:paraId="36EDB1AD" w14:textId="77777777" w:rsidR="00162F4A" w:rsidRPr="00162F4A" w:rsidRDefault="00162F4A" w:rsidP="00162F4A">
      <w:pPr>
        <w:spacing w:before="100" w:beforeAutospacing="1" w:after="100" w:afterAutospacing="1"/>
        <w:jc w:val="center"/>
        <w:outlineLvl w:val="1"/>
        <w:rPr>
          <w:rFonts w:eastAsia="Times New Roman" w:cs="Times New Roman"/>
          <w:b/>
          <w:bCs/>
          <w:kern w:val="0"/>
          <w14:ligatures w14:val="none"/>
        </w:rPr>
      </w:pPr>
      <w:r w:rsidRPr="00162F4A">
        <w:rPr>
          <w:rFonts w:eastAsia="Times New Roman" w:cs="Times New Roman"/>
          <w:b/>
          <w:bCs/>
          <w:kern w:val="0"/>
          <w14:ligatures w14:val="none"/>
        </w:rPr>
        <w:t>My Transparency Platform</w:t>
      </w:r>
    </w:p>
    <w:p w14:paraId="57C5FB69" w14:textId="77777777" w:rsidR="00162F4A" w:rsidRPr="00162F4A" w:rsidRDefault="00162F4A" w:rsidP="00162F4A">
      <w:pPr>
        <w:spacing w:before="100" w:beforeAutospacing="1" w:after="100" w:afterAutospacing="1"/>
        <w:outlineLvl w:val="2"/>
        <w:rPr>
          <w:rFonts w:eastAsia="Times New Roman" w:cs="Times New Roman"/>
          <w:kern w:val="0"/>
          <w14:ligatures w14:val="none"/>
        </w:rPr>
      </w:pPr>
      <w:r w:rsidRPr="00162F4A">
        <w:rPr>
          <w:rFonts w:eastAsia="Times New Roman" w:cs="Times New Roman"/>
          <w:kern w:val="0"/>
          <w14:ligatures w14:val="none"/>
        </w:rPr>
        <w:t>1. Curriculum Transparency</w:t>
      </w:r>
    </w:p>
    <w:p w14:paraId="3458F25C" w14:textId="5CF601E8" w:rsidR="00AA471C" w:rsidRPr="00162F4A" w:rsidRDefault="00162F4A" w:rsidP="00AA471C">
      <w:pPr>
        <w:numPr>
          <w:ilvl w:val="0"/>
          <w:numId w:val="3"/>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Goal: Ensure parents and voters have full access to curriculum details to build trust and encourage involvement.</w:t>
      </w:r>
    </w:p>
    <w:p w14:paraId="0C14ED7D" w14:textId="77777777" w:rsidR="00162F4A" w:rsidRPr="00162F4A" w:rsidRDefault="00162F4A" w:rsidP="00AA471C">
      <w:pPr>
        <w:numPr>
          <w:ilvl w:val="0"/>
          <w:numId w:val="3"/>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Commitments:</w:t>
      </w:r>
    </w:p>
    <w:p w14:paraId="19E79C58" w14:textId="5560927E" w:rsidR="00162F4A" w:rsidRPr="00162F4A" w:rsidRDefault="00162F4A" w:rsidP="00AA471C">
      <w:pPr>
        <w:numPr>
          <w:ilvl w:val="1"/>
          <w:numId w:val="3"/>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Advocate for publishing all curriculum frameworks, syllabi, and instructional materials (textbooks, digital resources, and supplemental materials) on the district website within 30 days of adoption, in line with Kansas curriculum standards.</w:t>
      </w:r>
      <w:r w:rsidRPr="00162F4A">
        <w:rPr>
          <w:rFonts w:eastAsia="Times New Roman" w:cs="Times New Roman"/>
          <w:kern w:val="0"/>
          <w:vertAlign w:val="superscript"/>
          <w14:ligatures w14:val="none"/>
        </w:rPr>
        <w:t>7</w:t>
      </w:r>
    </w:p>
    <w:p w14:paraId="65659DD4" w14:textId="1AA7DA98" w:rsidR="00162F4A" w:rsidRPr="00162F4A" w:rsidRDefault="00162F4A" w:rsidP="00AA471C">
      <w:pPr>
        <w:numPr>
          <w:ilvl w:val="1"/>
          <w:numId w:val="3"/>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lastRenderedPageBreak/>
        <w:t>Push for a clear process allowing parents to review and comment on proposed curriculum changes at public board meetings, with at least 14 days’ notice, as required by KOMA.</w:t>
      </w:r>
      <w:r w:rsidRPr="00162F4A">
        <w:rPr>
          <w:rFonts w:eastAsia="Times New Roman" w:cs="Times New Roman"/>
          <w:kern w:val="0"/>
          <w:vertAlign w:val="superscript"/>
          <w14:ligatures w14:val="none"/>
        </w:rPr>
        <w:t>8</w:t>
      </w:r>
    </w:p>
    <w:p w14:paraId="0664C142" w14:textId="77777777" w:rsidR="00162F4A" w:rsidRPr="00162F4A" w:rsidRDefault="00162F4A" w:rsidP="00AA471C">
      <w:pPr>
        <w:numPr>
          <w:ilvl w:val="1"/>
          <w:numId w:val="3"/>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Propose annual curriculum forums to discuss educational standards and content with our community.</w:t>
      </w:r>
    </w:p>
    <w:p w14:paraId="6256C263" w14:textId="033879AC" w:rsidR="00162F4A" w:rsidRPr="00162F4A" w:rsidRDefault="00162F4A" w:rsidP="00AA471C">
      <w:pPr>
        <w:numPr>
          <w:ilvl w:val="0"/>
          <w:numId w:val="3"/>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 xml:space="preserve">Why It Matters: Parental rights to guide their children’s education, upheld in </w:t>
      </w:r>
      <w:r w:rsidRPr="00162F4A">
        <w:rPr>
          <w:rFonts w:eastAsia="Times New Roman" w:cs="Times New Roman"/>
          <w:i/>
          <w:iCs/>
          <w:kern w:val="0"/>
          <w14:ligatures w14:val="none"/>
        </w:rPr>
        <w:t>Troxel v. Granville</w:t>
      </w:r>
      <w:r w:rsidRPr="00162F4A">
        <w:rPr>
          <w:rFonts w:eastAsia="Times New Roman" w:cs="Times New Roman"/>
          <w:kern w:val="0"/>
          <w14:ligatures w14:val="none"/>
        </w:rPr>
        <w:t>, and Kansas curriculum oversight laws demand openness.</w:t>
      </w:r>
      <w:r w:rsidRPr="00162F4A">
        <w:rPr>
          <w:rFonts w:eastAsia="Times New Roman" w:cs="Times New Roman"/>
          <w:kern w:val="0"/>
          <w:vertAlign w:val="superscript"/>
          <w14:ligatures w14:val="none"/>
        </w:rPr>
        <w:t>9</w:t>
      </w:r>
    </w:p>
    <w:p w14:paraId="356C3FC2" w14:textId="77777777" w:rsidR="00162F4A" w:rsidRPr="00162F4A" w:rsidRDefault="00162F4A" w:rsidP="00162F4A">
      <w:pPr>
        <w:spacing w:before="100" w:beforeAutospacing="1" w:after="100" w:afterAutospacing="1"/>
        <w:outlineLvl w:val="2"/>
        <w:rPr>
          <w:rFonts w:eastAsia="Times New Roman" w:cs="Times New Roman"/>
          <w:kern w:val="0"/>
          <w14:ligatures w14:val="none"/>
        </w:rPr>
      </w:pPr>
      <w:r w:rsidRPr="00162F4A">
        <w:rPr>
          <w:rFonts w:eastAsia="Times New Roman" w:cs="Times New Roman"/>
          <w:kern w:val="0"/>
          <w14:ligatures w14:val="none"/>
        </w:rPr>
        <w:t>2. Budget Transparency</w:t>
      </w:r>
    </w:p>
    <w:p w14:paraId="14D6CF9E" w14:textId="77777777" w:rsidR="00162F4A" w:rsidRPr="00162F4A" w:rsidRDefault="00162F4A" w:rsidP="00AA471C">
      <w:pPr>
        <w:numPr>
          <w:ilvl w:val="0"/>
          <w:numId w:val="4"/>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Goal: Make the district’s budget clear and accessible to ensure fiscal responsibility to taxpayers.</w:t>
      </w:r>
    </w:p>
    <w:p w14:paraId="0FE7A795" w14:textId="77777777" w:rsidR="00162F4A" w:rsidRPr="00162F4A" w:rsidRDefault="00162F4A" w:rsidP="00AA471C">
      <w:pPr>
        <w:numPr>
          <w:ilvl w:val="0"/>
          <w:numId w:val="4"/>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Commitments:</w:t>
      </w:r>
    </w:p>
    <w:p w14:paraId="4514C809" w14:textId="791A7F56" w:rsidR="00162F4A" w:rsidRPr="00162F4A" w:rsidRDefault="00162F4A" w:rsidP="00AA471C">
      <w:pPr>
        <w:numPr>
          <w:ilvl w:val="1"/>
          <w:numId w:val="4"/>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Support posting the annual budget, with detailed line items, revenue, and expenditures, on the district website in a user-friendly format (e.g., searchable PDF</w:t>
      </w:r>
      <w:r w:rsidR="00802402">
        <w:rPr>
          <w:rFonts w:eastAsia="Times New Roman" w:cs="Times New Roman"/>
          <w:kern w:val="0"/>
          <w14:ligatures w14:val="none"/>
        </w:rPr>
        <w:t>, 2 click rule</w:t>
      </w:r>
      <w:r w:rsidRPr="00162F4A">
        <w:rPr>
          <w:rFonts w:eastAsia="Times New Roman" w:cs="Times New Roman"/>
          <w:kern w:val="0"/>
          <w14:ligatures w14:val="none"/>
        </w:rPr>
        <w:t>) within 7 days of approval, per Kansas budget publication requirements.</w:t>
      </w:r>
      <w:r w:rsidRPr="00162F4A">
        <w:rPr>
          <w:rFonts w:eastAsia="Times New Roman" w:cs="Times New Roman"/>
          <w:kern w:val="0"/>
          <w:vertAlign w:val="superscript"/>
          <w14:ligatures w14:val="none"/>
        </w:rPr>
        <w:t>10</w:t>
      </w:r>
    </w:p>
    <w:p w14:paraId="494AD0FE" w14:textId="726E5A0A" w:rsidR="00162F4A" w:rsidRPr="00162F4A" w:rsidRDefault="00162F4A" w:rsidP="00AA471C">
      <w:pPr>
        <w:numPr>
          <w:ilvl w:val="1"/>
          <w:numId w:val="4"/>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Promote quarterly public budget reviews at board meetings, with opportunities for community input, as mandated by KOMA.</w:t>
      </w:r>
      <w:r w:rsidRPr="00162F4A">
        <w:rPr>
          <w:rFonts w:eastAsia="Times New Roman" w:cs="Times New Roman"/>
          <w:kern w:val="0"/>
          <w:vertAlign w:val="superscript"/>
          <w14:ligatures w14:val="none"/>
        </w:rPr>
        <w:t>11</w:t>
      </w:r>
    </w:p>
    <w:p w14:paraId="5640844D" w14:textId="7BD315E4" w:rsidR="00162F4A" w:rsidRPr="00162F4A" w:rsidRDefault="00162F4A" w:rsidP="00AA471C">
      <w:pPr>
        <w:numPr>
          <w:ilvl w:val="1"/>
          <w:numId w:val="4"/>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Advocate for online disclosure of contracts, grants, and financial agreements over $10,000, compliant with KORA.</w:t>
      </w:r>
      <w:r w:rsidRPr="00162F4A">
        <w:rPr>
          <w:rFonts w:eastAsia="Times New Roman" w:cs="Times New Roman"/>
          <w:kern w:val="0"/>
          <w:vertAlign w:val="superscript"/>
          <w14:ligatures w14:val="none"/>
        </w:rPr>
        <w:t>12</w:t>
      </w:r>
    </w:p>
    <w:p w14:paraId="04206A9F" w14:textId="24D0DDE1" w:rsidR="00162F4A" w:rsidRPr="00162F4A" w:rsidRDefault="00162F4A" w:rsidP="00AA471C">
      <w:pPr>
        <w:numPr>
          <w:ilvl w:val="0"/>
          <w:numId w:val="4"/>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Why It Matters: Kansas law requires transparent financial reporting, and taxpayers deserve oversight of public spending.</w:t>
      </w:r>
      <w:r w:rsidRPr="00162F4A">
        <w:rPr>
          <w:rFonts w:eastAsia="Times New Roman" w:cs="Times New Roman"/>
          <w:kern w:val="0"/>
          <w:vertAlign w:val="superscript"/>
          <w14:ligatures w14:val="none"/>
        </w:rPr>
        <w:t>13</w:t>
      </w:r>
    </w:p>
    <w:p w14:paraId="6AA717C5" w14:textId="77777777" w:rsidR="00162F4A" w:rsidRPr="00162F4A" w:rsidRDefault="00162F4A" w:rsidP="00162F4A">
      <w:pPr>
        <w:spacing w:before="100" w:beforeAutospacing="1" w:after="100" w:afterAutospacing="1"/>
        <w:outlineLvl w:val="2"/>
        <w:rPr>
          <w:rFonts w:eastAsia="Times New Roman" w:cs="Times New Roman"/>
          <w:kern w:val="0"/>
          <w14:ligatures w14:val="none"/>
        </w:rPr>
      </w:pPr>
      <w:r w:rsidRPr="00162F4A">
        <w:rPr>
          <w:rFonts w:eastAsia="Times New Roman" w:cs="Times New Roman"/>
          <w:kern w:val="0"/>
          <w14:ligatures w14:val="none"/>
        </w:rPr>
        <w:t>3. Data Collection Transparency</w:t>
      </w:r>
    </w:p>
    <w:p w14:paraId="2747E1BF" w14:textId="77777777" w:rsidR="00162F4A" w:rsidRPr="00162F4A" w:rsidRDefault="00162F4A" w:rsidP="00AA471C">
      <w:pPr>
        <w:numPr>
          <w:ilvl w:val="0"/>
          <w:numId w:val="5"/>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Goal: Protect student privacy by informing parents about data collection practices.</w:t>
      </w:r>
    </w:p>
    <w:p w14:paraId="0BAC158F" w14:textId="77777777" w:rsidR="00162F4A" w:rsidRPr="00162F4A" w:rsidRDefault="00162F4A" w:rsidP="00AA471C">
      <w:pPr>
        <w:numPr>
          <w:ilvl w:val="0"/>
          <w:numId w:val="5"/>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Commitments:</w:t>
      </w:r>
    </w:p>
    <w:p w14:paraId="63C3D920" w14:textId="06BE4B22" w:rsidR="00162F4A" w:rsidRPr="00162F4A" w:rsidRDefault="00162F4A" w:rsidP="00AA471C">
      <w:pPr>
        <w:numPr>
          <w:ilvl w:val="1"/>
          <w:numId w:val="5"/>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Ensure annual notifications to parents about student data collection, including purpose, storage, and third-party access, per FERPA and the Kansas Student Data Privacy Act.</w:t>
      </w:r>
      <w:r w:rsidRPr="00162F4A">
        <w:rPr>
          <w:rFonts w:eastAsia="Times New Roman" w:cs="Times New Roman"/>
          <w:kern w:val="0"/>
          <w:vertAlign w:val="superscript"/>
          <w14:ligatures w14:val="none"/>
        </w:rPr>
        <w:t>14</w:t>
      </w:r>
    </w:p>
    <w:p w14:paraId="6B6D9A15" w14:textId="08F0C808" w:rsidR="00162F4A" w:rsidRPr="00162F4A" w:rsidRDefault="00162F4A" w:rsidP="00AA471C">
      <w:pPr>
        <w:numPr>
          <w:ilvl w:val="1"/>
          <w:numId w:val="5"/>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Advocate for a public data inventory on the district website, listing data categories, retention periods, and security measures, as required by Kansas law.</w:t>
      </w:r>
      <w:r w:rsidRPr="00162F4A">
        <w:rPr>
          <w:rFonts w:eastAsia="Times New Roman" w:cs="Times New Roman"/>
          <w:kern w:val="0"/>
          <w:vertAlign w:val="superscript"/>
          <w14:ligatures w14:val="none"/>
        </w:rPr>
        <w:t>15</w:t>
      </w:r>
    </w:p>
    <w:p w14:paraId="66BD0253" w14:textId="6194F12E" w:rsidR="00162F4A" w:rsidRPr="00162F4A" w:rsidRDefault="00162F4A" w:rsidP="00AA471C">
      <w:pPr>
        <w:numPr>
          <w:ilvl w:val="1"/>
          <w:numId w:val="5"/>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Push for parental consent for non-mandatory surveys or third-party data sharing, with clear opt-out options, per Kansas privacy law.</w:t>
      </w:r>
      <w:r w:rsidRPr="00162F4A">
        <w:rPr>
          <w:rFonts w:eastAsia="Times New Roman" w:cs="Times New Roman"/>
          <w:kern w:val="0"/>
          <w:vertAlign w:val="superscript"/>
          <w14:ligatures w14:val="none"/>
        </w:rPr>
        <w:t>16</w:t>
      </w:r>
    </w:p>
    <w:p w14:paraId="7C0F1D2A" w14:textId="3FBED814" w:rsidR="00162F4A" w:rsidRDefault="00162F4A" w:rsidP="00AA471C">
      <w:pPr>
        <w:numPr>
          <w:ilvl w:val="0"/>
          <w:numId w:val="5"/>
        </w:numPr>
        <w:spacing w:before="100" w:beforeAutospacing="1" w:after="100" w:afterAutospacing="1" w:line="276" w:lineRule="auto"/>
        <w:rPr>
          <w:rFonts w:eastAsia="Times New Roman" w:cs="Times New Roman"/>
          <w:kern w:val="0"/>
          <w14:ligatures w14:val="none"/>
        </w:rPr>
      </w:pPr>
      <w:r w:rsidRPr="00162F4A">
        <w:rPr>
          <w:rFonts w:eastAsia="Times New Roman" w:cs="Times New Roman"/>
          <w:kern w:val="0"/>
          <w14:ligatures w14:val="none"/>
        </w:rPr>
        <w:t>Why It Matters: FERPA and Kansas privacy laws empower parents to control their children’s data, and transparency ensures compliance and trust.</w:t>
      </w:r>
      <w:r w:rsidRPr="00162F4A">
        <w:rPr>
          <w:rFonts w:eastAsia="Times New Roman" w:cs="Times New Roman"/>
          <w:kern w:val="0"/>
          <w:vertAlign w:val="superscript"/>
          <w14:ligatures w14:val="none"/>
        </w:rPr>
        <w:t>17</w:t>
      </w:r>
    </w:p>
    <w:p w14:paraId="1A0074C7" w14:textId="77777777" w:rsidR="00AA471C" w:rsidRDefault="00AA471C" w:rsidP="00AA471C">
      <w:pPr>
        <w:spacing w:before="100" w:beforeAutospacing="1" w:after="100" w:afterAutospacing="1" w:line="276" w:lineRule="auto"/>
        <w:rPr>
          <w:rFonts w:eastAsia="Times New Roman" w:cs="Times New Roman"/>
          <w:kern w:val="0"/>
          <w14:ligatures w14:val="none"/>
        </w:rPr>
      </w:pPr>
    </w:p>
    <w:p w14:paraId="6AE09398" w14:textId="77777777" w:rsidR="00802402" w:rsidRPr="00162F4A" w:rsidRDefault="00802402" w:rsidP="00AA471C">
      <w:pPr>
        <w:spacing w:before="100" w:beforeAutospacing="1" w:after="100" w:afterAutospacing="1" w:line="276" w:lineRule="auto"/>
        <w:rPr>
          <w:rFonts w:eastAsia="Times New Roman" w:cs="Times New Roman"/>
          <w:kern w:val="0"/>
          <w14:ligatures w14:val="none"/>
        </w:rPr>
      </w:pPr>
    </w:p>
    <w:p w14:paraId="6ADECD7D" w14:textId="77777777" w:rsidR="00162F4A" w:rsidRPr="00162F4A" w:rsidRDefault="00162F4A" w:rsidP="00162F4A">
      <w:pPr>
        <w:spacing w:before="100" w:beforeAutospacing="1" w:after="100" w:afterAutospacing="1"/>
        <w:jc w:val="center"/>
        <w:outlineLvl w:val="1"/>
        <w:rPr>
          <w:rFonts w:eastAsia="Times New Roman" w:cs="Times New Roman"/>
          <w:b/>
          <w:bCs/>
          <w:kern w:val="0"/>
          <w14:ligatures w14:val="none"/>
        </w:rPr>
      </w:pPr>
      <w:r w:rsidRPr="00162F4A">
        <w:rPr>
          <w:rFonts w:eastAsia="Times New Roman" w:cs="Times New Roman"/>
          <w:b/>
          <w:bCs/>
          <w:kern w:val="0"/>
          <w14:ligatures w14:val="none"/>
        </w:rPr>
        <w:lastRenderedPageBreak/>
        <w:t>My Plan for Implementation</w:t>
      </w:r>
    </w:p>
    <w:p w14:paraId="0FA0C463" w14:textId="2B04B31D" w:rsidR="00162F4A" w:rsidRPr="00162F4A" w:rsidRDefault="00162F4A" w:rsidP="00162F4A">
      <w:pPr>
        <w:numPr>
          <w:ilvl w:val="0"/>
          <w:numId w:val="6"/>
        </w:numPr>
        <w:spacing w:before="100" w:beforeAutospacing="1" w:after="100" w:afterAutospacing="1"/>
        <w:rPr>
          <w:rFonts w:eastAsia="Times New Roman" w:cs="Times New Roman"/>
          <w:kern w:val="0"/>
          <w14:ligatures w14:val="none"/>
        </w:rPr>
      </w:pPr>
      <w:r w:rsidRPr="00162F4A">
        <w:rPr>
          <w:rFonts w:eastAsia="Times New Roman" w:cs="Times New Roman"/>
          <w:kern w:val="0"/>
          <w14:ligatures w14:val="none"/>
        </w:rPr>
        <w:t>Transparency Available Online: I will champion for improvement to the online portals available to the schools and the district for curriculum, budget, and data information, ensuring easy access in compliance with KORA.</w:t>
      </w:r>
      <w:r w:rsidRPr="00162F4A">
        <w:rPr>
          <w:rFonts w:eastAsia="Times New Roman" w:cs="Times New Roman"/>
          <w:kern w:val="0"/>
          <w:vertAlign w:val="superscript"/>
          <w14:ligatures w14:val="none"/>
        </w:rPr>
        <w:t>18</w:t>
      </w:r>
      <w:r w:rsidR="00802402">
        <w:rPr>
          <w:rFonts w:eastAsia="Times New Roman" w:cs="Times New Roman"/>
          <w:kern w:val="0"/>
          <w14:ligatures w14:val="none"/>
        </w:rPr>
        <w:t xml:space="preserve"> Simple, clear and accurate.</w:t>
      </w:r>
    </w:p>
    <w:p w14:paraId="041A03C5" w14:textId="491022AA" w:rsidR="00162F4A" w:rsidRPr="00162F4A" w:rsidRDefault="00162F4A" w:rsidP="00162F4A">
      <w:pPr>
        <w:numPr>
          <w:ilvl w:val="0"/>
          <w:numId w:val="6"/>
        </w:numPr>
        <w:spacing w:before="100" w:beforeAutospacing="1" w:after="100" w:afterAutospacing="1"/>
        <w:rPr>
          <w:rFonts w:eastAsia="Times New Roman" w:cs="Times New Roman"/>
          <w:kern w:val="0"/>
          <w14:ligatures w14:val="none"/>
        </w:rPr>
      </w:pPr>
      <w:r w:rsidRPr="00162F4A">
        <w:rPr>
          <w:rFonts w:eastAsia="Times New Roman" w:cs="Times New Roman"/>
          <w:kern w:val="0"/>
          <w14:ligatures w14:val="none"/>
        </w:rPr>
        <w:t>Community Involvement: I propose a</w:t>
      </w:r>
      <w:r>
        <w:rPr>
          <w:rFonts w:eastAsia="Times New Roman" w:cs="Times New Roman"/>
          <w:kern w:val="0"/>
          <w14:ligatures w14:val="none"/>
        </w:rPr>
        <w:t>n increase in community involvement</w:t>
      </w:r>
      <w:r w:rsidRPr="00162F4A">
        <w:rPr>
          <w:rFonts w:eastAsia="Times New Roman" w:cs="Times New Roman"/>
          <w:kern w:val="0"/>
          <w14:ligatures w14:val="none"/>
        </w:rPr>
        <w:t>, including parents, educators</w:t>
      </w:r>
      <w:r>
        <w:rPr>
          <w:rFonts w:eastAsia="Times New Roman" w:cs="Times New Roman"/>
          <w:kern w:val="0"/>
          <w14:ligatures w14:val="none"/>
        </w:rPr>
        <w:t xml:space="preserve"> (past and present)</w:t>
      </w:r>
      <w:r w:rsidRPr="00162F4A">
        <w:rPr>
          <w:rFonts w:eastAsia="Times New Roman" w:cs="Times New Roman"/>
          <w:kern w:val="0"/>
          <w14:ligatures w14:val="none"/>
        </w:rPr>
        <w:t>, and voters, to guide and improve transparency practices.</w:t>
      </w:r>
    </w:p>
    <w:p w14:paraId="750F4EEB" w14:textId="0D41C989" w:rsidR="00162F4A" w:rsidRPr="00162F4A" w:rsidRDefault="00162F4A" w:rsidP="00162F4A">
      <w:pPr>
        <w:numPr>
          <w:ilvl w:val="0"/>
          <w:numId w:val="6"/>
        </w:numPr>
        <w:spacing w:before="100" w:beforeAutospacing="1" w:after="100" w:afterAutospacing="1"/>
        <w:rPr>
          <w:rFonts w:eastAsia="Times New Roman" w:cs="Times New Roman"/>
          <w:kern w:val="0"/>
          <w14:ligatures w14:val="none"/>
        </w:rPr>
      </w:pPr>
      <w:r w:rsidRPr="00162F4A">
        <w:rPr>
          <w:rFonts w:eastAsia="Times New Roman" w:cs="Times New Roman"/>
          <w:kern w:val="0"/>
          <w14:ligatures w14:val="none"/>
        </w:rPr>
        <w:t>Staff Training: I will advocate for annual training for district staff on KORA, KOMA, and Kansas Student Data Privacy Act obligations</w:t>
      </w:r>
      <w:r>
        <w:rPr>
          <w:rFonts w:eastAsia="Times New Roman" w:cs="Times New Roman"/>
          <w:kern w:val="0"/>
          <w14:ligatures w14:val="none"/>
        </w:rPr>
        <w:t xml:space="preserve"> to ensure compliance at all echelons.</w:t>
      </w:r>
      <w:r w:rsidRPr="00162F4A">
        <w:rPr>
          <w:rFonts w:eastAsia="Times New Roman" w:cs="Times New Roman"/>
          <w:kern w:val="0"/>
          <w:vertAlign w:val="superscript"/>
          <w14:ligatures w14:val="none"/>
        </w:rPr>
        <w:t>19</w:t>
      </w:r>
      <w:r w:rsidR="0041131F">
        <w:rPr>
          <w:rFonts w:eastAsia="Times New Roman" w:cs="Times New Roman"/>
          <w:kern w:val="0"/>
          <w14:ligatures w14:val="none"/>
        </w:rPr>
        <w:t xml:space="preserve"> Accountable and compliant.</w:t>
      </w:r>
    </w:p>
    <w:p w14:paraId="6753751B" w14:textId="5C7C425A" w:rsidR="00162F4A" w:rsidRPr="00162F4A" w:rsidRDefault="00162F4A" w:rsidP="00162F4A">
      <w:pPr>
        <w:numPr>
          <w:ilvl w:val="0"/>
          <w:numId w:val="6"/>
        </w:numPr>
        <w:spacing w:before="100" w:beforeAutospacing="1" w:after="100" w:afterAutospacing="1"/>
        <w:rPr>
          <w:rFonts w:eastAsia="Times New Roman" w:cs="Times New Roman"/>
          <w:kern w:val="0"/>
          <w14:ligatures w14:val="none"/>
        </w:rPr>
      </w:pPr>
      <w:r w:rsidRPr="00162F4A">
        <w:rPr>
          <w:rFonts w:eastAsia="Times New Roman" w:cs="Times New Roman"/>
          <w:kern w:val="0"/>
          <w14:ligatures w14:val="none"/>
        </w:rPr>
        <w:t>Annual Audits: I will support yearly audits of transparency practices</w:t>
      </w:r>
      <w:r>
        <w:rPr>
          <w:rFonts w:eastAsia="Times New Roman" w:cs="Times New Roman"/>
          <w:kern w:val="0"/>
          <w14:ligatures w14:val="none"/>
        </w:rPr>
        <w:t xml:space="preserve"> including results</w:t>
      </w:r>
      <w:r w:rsidRPr="00162F4A">
        <w:rPr>
          <w:rFonts w:eastAsia="Times New Roman" w:cs="Times New Roman"/>
          <w:kern w:val="0"/>
          <w14:ligatures w14:val="none"/>
        </w:rPr>
        <w:t xml:space="preserve"> shared publicly at board meetings, per KOMA.</w:t>
      </w:r>
      <w:r w:rsidRPr="00162F4A">
        <w:rPr>
          <w:rFonts w:eastAsia="Times New Roman" w:cs="Times New Roman"/>
          <w:kern w:val="0"/>
          <w:vertAlign w:val="superscript"/>
          <w14:ligatures w14:val="none"/>
        </w:rPr>
        <w:t>20</w:t>
      </w:r>
      <w:r w:rsidR="0041131F">
        <w:rPr>
          <w:rFonts w:eastAsia="Times New Roman" w:cs="Times New Roman"/>
          <w:kern w:val="0"/>
          <w:vertAlign w:val="superscript"/>
          <w14:ligatures w14:val="none"/>
        </w:rPr>
        <w:t xml:space="preserve"> </w:t>
      </w:r>
      <w:r w:rsidR="0041131F">
        <w:rPr>
          <w:rFonts w:eastAsia="Times New Roman" w:cs="Times New Roman"/>
          <w:kern w:val="0"/>
          <w14:ligatures w14:val="none"/>
        </w:rPr>
        <w:t xml:space="preserve">The law is </w:t>
      </w:r>
      <w:proofErr w:type="gramStart"/>
      <w:r w:rsidR="0041131F">
        <w:rPr>
          <w:rFonts w:eastAsia="Times New Roman" w:cs="Times New Roman"/>
          <w:kern w:val="0"/>
          <w14:ligatures w14:val="none"/>
        </w:rPr>
        <w:t>clear</w:t>
      </w:r>
      <w:proofErr w:type="gramEnd"/>
      <w:r w:rsidR="0041131F">
        <w:rPr>
          <w:rFonts w:eastAsia="Times New Roman" w:cs="Times New Roman"/>
          <w:kern w:val="0"/>
          <w14:ligatures w14:val="none"/>
        </w:rPr>
        <w:t xml:space="preserve"> and it must be followed.</w:t>
      </w:r>
    </w:p>
    <w:p w14:paraId="07C08C44" w14:textId="5DE8A800" w:rsidR="00162F4A" w:rsidRPr="00162F4A" w:rsidRDefault="00162F4A" w:rsidP="00162F4A">
      <w:pPr>
        <w:spacing w:before="100" w:beforeAutospacing="1" w:after="100" w:afterAutospacing="1"/>
        <w:jc w:val="center"/>
        <w:outlineLvl w:val="1"/>
        <w:rPr>
          <w:rFonts w:eastAsia="Times New Roman" w:cs="Times New Roman"/>
          <w:b/>
          <w:bCs/>
          <w:kern w:val="0"/>
          <w14:ligatures w14:val="none"/>
        </w:rPr>
      </w:pPr>
      <w:r w:rsidRPr="00162F4A">
        <w:rPr>
          <w:rFonts w:eastAsia="Times New Roman" w:cs="Times New Roman"/>
          <w:b/>
          <w:bCs/>
          <w:kern w:val="0"/>
          <w14:ligatures w14:val="none"/>
        </w:rPr>
        <w:t>My Pledge to You</w:t>
      </w:r>
    </w:p>
    <w:p w14:paraId="6B7A305F" w14:textId="3C04B950" w:rsidR="00162F4A" w:rsidRDefault="00162F4A" w:rsidP="00162F4A">
      <w:pPr>
        <w:spacing w:before="100" w:beforeAutospacing="1" w:after="100" w:afterAutospacing="1"/>
        <w:rPr>
          <w:rFonts w:eastAsia="Times New Roman" w:cs="Times New Roman"/>
          <w:kern w:val="0"/>
          <w14:ligatures w14:val="none"/>
        </w:rPr>
      </w:pPr>
      <w:r w:rsidRPr="00162F4A">
        <w:rPr>
          <w:rFonts w:eastAsia="Times New Roman" w:cs="Times New Roman"/>
          <w:kern w:val="0"/>
          <w14:ligatures w14:val="none"/>
        </w:rPr>
        <w:t xml:space="preserve">As your school board member, I will work to ensure </w:t>
      </w:r>
      <w:r>
        <w:rPr>
          <w:rFonts w:eastAsia="Times New Roman" w:cs="Times New Roman"/>
          <w:kern w:val="0"/>
          <w14:ligatures w14:val="none"/>
        </w:rPr>
        <w:t>Leavenworth</w:t>
      </w:r>
      <w:r w:rsidRPr="00162F4A">
        <w:rPr>
          <w:rFonts w:eastAsia="Times New Roman" w:cs="Times New Roman"/>
          <w:kern w:val="0"/>
          <w14:ligatures w14:val="none"/>
        </w:rPr>
        <w:t xml:space="preserve"> operates with openness and accountability. Transparency is the foundation of trust between our schools and our community. By upholding the U.S. Constitution and Kansas law, </w:t>
      </w:r>
      <w:r>
        <w:rPr>
          <w:rFonts w:eastAsia="Times New Roman" w:cs="Times New Roman"/>
          <w:kern w:val="0"/>
          <w14:ligatures w14:val="none"/>
        </w:rPr>
        <w:t xml:space="preserve">we </w:t>
      </w:r>
      <w:r w:rsidRPr="00162F4A">
        <w:rPr>
          <w:rFonts w:eastAsia="Times New Roman" w:cs="Times New Roman"/>
          <w:kern w:val="0"/>
          <w14:ligatures w14:val="none"/>
        </w:rPr>
        <w:t xml:space="preserve">empower parents and voters to be active partners in children’s education. Together, we can build a stronger, </w:t>
      </w:r>
      <w:r>
        <w:rPr>
          <w:rFonts w:eastAsia="Times New Roman" w:cs="Times New Roman"/>
          <w:kern w:val="0"/>
          <w14:ligatures w14:val="none"/>
        </w:rPr>
        <w:t>community empowered</w:t>
      </w:r>
      <w:r w:rsidRPr="00162F4A">
        <w:rPr>
          <w:rFonts w:eastAsia="Times New Roman" w:cs="Times New Roman"/>
          <w:kern w:val="0"/>
          <w14:ligatures w14:val="none"/>
        </w:rPr>
        <w:t xml:space="preserve"> school district.</w:t>
      </w:r>
    </w:p>
    <w:p w14:paraId="14DB44F6" w14:textId="448707D3" w:rsidR="00162F4A" w:rsidRPr="00162F4A" w:rsidRDefault="0041131F" w:rsidP="00162F4A">
      <w:pPr>
        <w:spacing w:before="100" w:beforeAutospacing="1" w:after="100" w:afterAutospacing="1"/>
        <w:jc w:val="center"/>
        <w:rPr>
          <w:rFonts w:eastAsia="Times New Roman" w:cs="Times New Roman"/>
          <w:b/>
          <w:bCs/>
          <w:kern w:val="0"/>
          <w14:ligatures w14:val="none"/>
        </w:rPr>
      </w:pPr>
      <w:r>
        <w:rPr>
          <w:rFonts w:eastAsia="Times New Roman" w:cs="Times New Roman"/>
          <w:b/>
          <w:bCs/>
          <w:kern w:val="0"/>
          <w14:ligatures w14:val="none"/>
        </w:rPr>
        <w:t>Endnotes</w:t>
      </w:r>
    </w:p>
    <w:p w14:paraId="3AF153DE" w14:textId="55C21E21" w:rsidR="00162F4A" w:rsidRPr="00162F4A" w:rsidRDefault="00162F4A" w:rsidP="00162F4A">
      <w:pPr>
        <w:spacing w:before="100" w:beforeAutospacing="1" w:after="100" w:afterAutospacing="1"/>
        <w:rPr>
          <w:rFonts w:eastAsia="Times New Roman" w:cs="Times New Roman"/>
          <w:kern w:val="0"/>
          <w14:ligatures w14:val="none"/>
        </w:rPr>
      </w:pPr>
      <w:r w:rsidRPr="00162F4A">
        <w:rPr>
          <w:rFonts w:eastAsia="Times New Roman" w:cs="Times New Roman"/>
          <w:kern w:val="0"/>
          <w:vertAlign w:val="superscript"/>
          <w14:ligatures w14:val="none"/>
        </w:rPr>
        <w:t>1</w:t>
      </w:r>
      <w:r w:rsidRPr="00162F4A">
        <w:rPr>
          <w:rFonts w:eastAsia="Times New Roman" w:cs="Times New Roman"/>
          <w:kern w:val="0"/>
          <w14:ligatures w14:val="none"/>
        </w:rPr>
        <w:t xml:space="preserve">: U.S. Const. amend. I. </w:t>
      </w:r>
      <w:r w:rsidRPr="00162F4A">
        <w:rPr>
          <w:rFonts w:eastAsia="Times New Roman" w:cs="Times New Roman"/>
          <w:kern w:val="0"/>
          <w:vertAlign w:val="superscript"/>
          <w14:ligatures w14:val="none"/>
        </w:rPr>
        <w:t>2</w:t>
      </w:r>
      <w:r w:rsidRPr="00162F4A">
        <w:rPr>
          <w:rFonts w:eastAsia="Times New Roman" w:cs="Times New Roman"/>
          <w:kern w:val="0"/>
          <w14:ligatures w14:val="none"/>
        </w:rPr>
        <w:t xml:space="preserve">: U.S. Const. amend. XIV, § 1. </w:t>
      </w:r>
      <w:r w:rsidRPr="00162F4A">
        <w:rPr>
          <w:rFonts w:eastAsia="Times New Roman" w:cs="Times New Roman"/>
          <w:kern w:val="0"/>
          <w:vertAlign w:val="superscript"/>
          <w14:ligatures w14:val="none"/>
        </w:rPr>
        <w:t>3</w:t>
      </w:r>
      <w:r w:rsidRPr="00162F4A">
        <w:rPr>
          <w:rFonts w:eastAsia="Times New Roman" w:cs="Times New Roman"/>
          <w:kern w:val="0"/>
          <w14:ligatures w14:val="none"/>
        </w:rPr>
        <w:t xml:space="preserve">: Family Educational Rights and Privacy Act, 20 U.S.C. § 1232g (1974). </w:t>
      </w:r>
      <w:r w:rsidRPr="00162F4A">
        <w:rPr>
          <w:rFonts w:eastAsia="Times New Roman" w:cs="Times New Roman"/>
          <w:kern w:val="0"/>
          <w:vertAlign w:val="superscript"/>
          <w14:ligatures w14:val="none"/>
        </w:rPr>
        <w:t>4</w:t>
      </w:r>
      <w:r w:rsidRPr="00162F4A">
        <w:rPr>
          <w:rFonts w:eastAsia="Times New Roman" w:cs="Times New Roman"/>
          <w:kern w:val="0"/>
          <w14:ligatures w14:val="none"/>
        </w:rPr>
        <w:t xml:space="preserve">: Kansas Open Records Act, Kan. Stat. Ann. § 45-215 et seq. (1983). </w:t>
      </w:r>
      <w:r w:rsidRPr="00162F4A">
        <w:rPr>
          <w:rFonts w:eastAsia="Times New Roman" w:cs="Times New Roman"/>
          <w:kern w:val="0"/>
          <w:vertAlign w:val="superscript"/>
          <w14:ligatures w14:val="none"/>
        </w:rPr>
        <w:t>5</w:t>
      </w:r>
      <w:r w:rsidRPr="00162F4A">
        <w:rPr>
          <w:rFonts w:eastAsia="Times New Roman" w:cs="Times New Roman"/>
          <w:kern w:val="0"/>
          <w14:ligatures w14:val="none"/>
        </w:rPr>
        <w:t xml:space="preserve">: Kansas Open Meetings Act, Kan. Stat. Ann. § 75-4317 et seq. (1977). </w:t>
      </w:r>
      <w:r w:rsidRPr="00162F4A">
        <w:rPr>
          <w:rFonts w:eastAsia="Times New Roman" w:cs="Times New Roman"/>
          <w:kern w:val="0"/>
          <w:vertAlign w:val="superscript"/>
          <w14:ligatures w14:val="none"/>
        </w:rPr>
        <w:t>6</w:t>
      </w:r>
      <w:r w:rsidRPr="00162F4A">
        <w:rPr>
          <w:rFonts w:eastAsia="Times New Roman" w:cs="Times New Roman"/>
          <w:kern w:val="0"/>
          <w14:ligatures w14:val="none"/>
        </w:rPr>
        <w:t xml:space="preserve">: Kan. Stat. Ann. § 72-1138 (2017). </w:t>
      </w:r>
      <w:r w:rsidRPr="00162F4A">
        <w:rPr>
          <w:rFonts w:eastAsia="Times New Roman" w:cs="Times New Roman"/>
          <w:kern w:val="0"/>
          <w:vertAlign w:val="superscript"/>
          <w14:ligatures w14:val="none"/>
        </w:rPr>
        <w:t>7</w:t>
      </w:r>
      <w:r w:rsidRPr="00162F4A">
        <w:rPr>
          <w:rFonts w:eastAsia="Times New Roman" w:cs="Times New Roman"/>
          <w:kern w:val="0"/>
          <w14:ligatures w14:val="none"/>
        </w:rPr>
        <w:t xml:space="preserve">: Kan. Stat. Ann. § 72-1151 (2005). </w:t>
      </w:r>
      <w:r w:rsidRPr="00162F4A">
        <w:rPr>
          <w:rFonts w:eastAsia="Times New Roman" w:cs="Times New Roman"/>
          <w:kern w:val="0"/>
          <w:vertAlign w:val="superscript"/>
          <w14:ligatures w14:val="none"/>
        </w:rPr>
        <w:t>8</w:t>
      </w:r>
      <w:r w:rsidRPr="00162F4A">
        <w:rPr>
          <w:rFonts w:eastAsia="Times New Roman" w:cs="Times New Roman"/>
          <w:kern w:val="0"/>
          <w14:ligatures w14:val="none"/>
        </w:rPr>
        <w:t xml:space="preserve">: Kan. Stat. Ann. § 75-4318 (1977). </w:t>
      </w:r>
      <w:r w:rsidRPr="00162F4A">
        <w:rPr>
          <w:rFonts w:eastAsia="Times New Roman" w:cs="Times New Roman"/>
          <w:kern w:val="0"/>
          <w:vertAlign w:val="superscript"/>
          <w14:ligatures w14:val="none"/>
        </w:rPr>
        <w:t>9</w:t>
      </w:r>
      <w:r w:rsidRPr="00162F4A">
        <w:rPr>
          <w:rFonts w:eastAsia="Times New Roman" w:cs="Times New Roman"/>
          <w:kern w:val="0"/>
          <w14:ligatures w14:val="none"/>
        </w:rPr>
        <w:t xml:space="preserve">: </w:t>
      </w:r>
      <w:r w:rsidRPr="00162F4A">
        <w:rPr>
          <w:rFonts w:eastAsia="Times New Roman" w:cs="Times New Roman"/>
          <w:i/>
          <w:iCs/>
          <w:kern w:val="0"/>
          <w14:ligatures w14:val="none"/>
        </w:rPr>
        <w:t>Troxel v. Granville</w:t>
      </w:r>
      <w:r w:rsidRPr="00162F4A">
        <w:rPr>
          <w:rFonts w:eastAsia="Times New Roman" w:cs="Times New Roman"/>
          <w:kern w:val="0"/>
          <w14:ligatures w14:val="none"/>
        </w:rPr>
        <w:t xml:space="preserve">, 529 U.S. 57 (2000); Kan. Stat. Ann. § 72-1138. </w:t>
      </w:r>
      <w:r w:rsidRPr="00162F4A">
        <w:rPr>
          <w:rFonts w:eastAsia="Times New Roman" w:cs="Times New Roman"/>
          <w:kern w:val="0"/>
          <w:vertAlign w:val="superscript"/>
          <w14:ligatures w14:val="none"/>
        </w:rPr>
        <w:t>10</w:t>
      </w:r>
      <w:r w:rsidRPr="00162F4A">
        <w:rPr>
          <w:rFonts w:eastAsia="Times New Roman" w:cs="Times New Roman"/>
          <w:kern w:val="0"/>
          <w14:ligatures w14:val="none"/>
        </w:rPr>
        <w:t xml:space="preserve">: Kan. Stat. Ann. § 72-1167 (2016). </w:t>
      </w:r>
      <w:r w:rsidRPr="00162F4A">
        <w:rPr>
          <w:rFonts w:eastAsia="Times New Roman" w:cs="Times New Roman"/>
          <w:kern w:val="0"/>
          <w:vertAlign w:val="superscript"/>
          <w14:ligatures w14:val="none"/>
        </w:rPr>
        <w:t>11</w:t>
      </w:r>
      <w:r w:rsidRPr="00162F4A">
        <w:rPr>
          <w:rFonts w:eastAsia="Times New Roman" w:cs="Times New Roman"/>
          <w:kern w:val="0"/>
          <w14:ligatures w14:val="none"/>
        </w:rPr>
        <w:t xml:space="preserve">: Kan. Stat. Ann. § 75-4318. </w:t>
      </w:r>
      <w:r w:rsidRPr="00162F4A">
        <w:rPr>
          <w:rFonts w:eastAsia="Times New Roman" w:cs="Times New Roman"/>
          <w:kern w:val="0"/>
          <w:vertAlign w:val="superscript"/>
          <w14:ligatures w14:val="none"/>
        </w:rPr>
        <w:t>12</w:t>
      </w:r>
      <w:r w:rsidRPr="00162F4A">
        <w:rPr>
          <w:rFonts w:eastAsia="Times New Roman" w:cs="Times New Roman"/>
          <w:kern w:val="0"/>
          <w14:ligatures w14:val="none"/>
        </w:rPr>
        <w:t xml:space="preserve">: Kan. Stat. Ann. § 45-221 (1983). </w:t>
      </w:r>
      <w:r w:rsidRPr="00162F4A">
        <w:rPr>
          <w:rFonts w:eastAsia="Times New Roman" w:cs="Times New Roman"/>
          <w:kern w:val="0"/>
          <w:vertAlign w:val="superscript"/>
          <w14:ligatures w14:val="none"/>
        </w:rPr>
        <w:t>13</w:t>
      </w:r>
      <w:r w:rsidRPr="00162F4A">
        <w:rPr>
          <w:rFonts w:eastAsia="Times New Roman" w:cs="Times New Roman"/>
          <w:kern w:val="0"/>
          <w14:ligatures w14:val="none"/>
        </w:rPr>
        <w:t xml:space="preserve">: Kan. Stat. Ann. § 72-1167. </w:t>
      </w:r>
      <w:r w:rsidRPr="00162F4A">
        <w:rPr>
          <w:rFonts w:eastAsia="Times New Roman" w:cs="Times New Roman"/>
          <w:kern w:val="0"/>
          <w:vertAlign w:val="superscript"/>
          <w14:ligatures w14:val="none"/>
        </w:rPr>
        <w:t>14</w:t>
      </w:r>
      <w:r w:rsidRPr="00162F4A">
        <w:rPr>
          <w:rFonts w:eastAsia="Times New Roman" w:cs="Times New Roman"/>
          <w:kern w:val="0"/>
          <w14:ligatures w14:val="none"/>
        </w:rPr>
        <w:t xml:space="preserve">: Family Educational Rights and Privacy Act, 20 U.S.C. § 1232g; Kansas Student Data Privacy Act, Kan. Stat. Ann. § 72-6312 et seq. (2014). </w:t>
      </w:r>
      <w:r w:rsidRPr="00162F4A">
        <w:rPr>
          <w:rFonts w:eastAsia="Times New Roman" w:cs="Times New Roman"/>
          <w:kern w:val="0"/>
          <w:vertAlign w:val="superscript"/>
          <w14:ligatures w14:val="none"/>
        </w:rPr>
        <w:t>15</w:t>
      </w:r>
      <w:r w:rsidRPr="00162F4A">
        <w:rPr>
          <w:rFonts w:eastAsia="Times New Roman" w:cs="Times New Roman"/>
          <w:kern w:val="0"/>
          <w14:ligatures w14:val="none"/>
        </w:rPr>
        <w:t xml:space="preserve">: Kan. Stat. Ann. § 72-6314 (2014). </w:t>
      </w:r>
      <w:r w:rsidRPr="00162F4A">
        <w:rPr>
          <w:rFonts w:eastAsia="Times New Roman" w:cs="Times New Roman"/>
          <w:kern w:val="0"/>
          <w:vertAlign w:val="superscript"/>
          <w14:ligatures w14:val="none"/>
        </w:rPr>
        <w:t>16</w:t>
      </w:r>
      <w:r w:rsidRPr="00162F4A">
        <w:rPr>
          <w:rFonts w:eastAsia="Times New Roman" w:cs="Times New Roman"/>
          <w:kern w:val="0"/>
          <w14:ligatures w14:val="none"/>
        </w:rPr>
        <w:t xml:space="preserve">: Kan. Stat. Ann. § 72-6316 (2014). </w:t>
      </w:r>
      <w:r w:rsidRPr="00162F4A">
        <w:rPr>
          <w:rFonts w:eastAsia="Times New Roman" w:cs="Times New Roman"/>
          <w:kern w:val="0"/>
          <w:vertAlign w:val="superscript"/>
          <w14:ligatures w14:val="none"/>
        </w:rPr>
        <w:t>17</w:t>
      </w:r>
      <w:r w:rsidRPr="00162F4A">
        <w:rPr>
          <w:rFonts w:eastAsia="Times New Roman" w:cs="Times New Roman"/>
          <w:kern w:val="0"/>
          <w14:ligatures w14:val="none"/>
        </w:rPr>
        <w:t xml:space="preserve">: </w:t>
      </w:r>
      <w:r w:rsidRPr="00162F4A">
        <w:rPr>
          <w:rFonts w:eastAsia="Times New Roman" w:cs="Times New Roman"/>
          <w:i/>
          <w:iCs/>
          <w:kern w:val="0"/>
          <w14:ligatures w14:val="none"/>
        </w:rPr>
        <w:t>Gonzaga University v. Doe</w:t>
      </w:r>
      <w:r w:rsidRPr="00162F4A">
        <w:rPr>
          <w:rFonts w:eastAsia="Times New Roman" w:cs="Times New Roman"/>
          <w:kern w:val="0"/>
          <w14:ligatures w14:val="none"/>
        </w:rPr>
        <w:t xml:space="preserve">, 536 U.S. 273 (2002); Kan. Stat. Ann. § 72-6312 et seq. </w:t>
      </w:r>
      <w:r w:rsidRPr="00162F4A">
        <w:rPr>
          <w:rFonts w:eastAsia="Times New Roman" w:cs="Times New Roman"/>
          <w:kern w:val="0"/>
          <w:vertAlign w:val="superscript"/>
          <w14:ligatures w14:val="none"/>
        </w:rPr>
        <w:t>18</w:t>
      </w:r>
      <w:r w:rsidRPr="00162F4A">
        <w:rPr>
          <w:rFonts w:eastAsia="Times New Roman" w:cs="Times New Roman"/>
          <w:kern w:val="0"/>
          <w14:ligatures w14:val="none"/>
        </w:rPr>
        <w:t xml:space="preserve">: Kan. Stat. Ann. § 45-215 et seq. </w:t>
      </w:r>
      <w:r w:rsidRPr="00162F4A">
        <w:rPr>
          <w:rFonts w:eastAsia="Times New Roman" w:cs="Times New Roman"/>
          <w:kern w:val="0"/>
          <w:vertAlign w:val="superscript"/>
          <w14:ligatures w14:val="none"/>
        </w:rPr>
        <w:t>19</w:t>
      </w:r>
      <w:r w:rsidRPr="00162F4A">
        <w:rPr>
          <w:rFonts w:eastAsia="Times New Roman" w:cs="Times New Roman"/>
          <w:kern w:val="0"/>
          <w14:ligatures w14:val="none"/>
        </w:rPr>
        <w:t xml:space="preserve">: Kan. Stat. Ann. § 45-215 et seq.; Kan. Stat. Ann. § 75-4317 et seq.; Kan. Stat. Ann. § 72-6312 et seq. </w:t>
      </w:r>
      <w:r w:rsidRPr="00162F4A">
        <w:rPr>
          <w:rFonts w:eastAsia="Times New Roman" w:cs="Times New Roman"/>
          <w:kern w:val="0"/>
          <w:vertAlign w:val="superscript"/>
          <w14:ligatures w14:val="none"/>
        </w:rPr>
        <w:t>20</w:t>
      </w:r>
      <w:r w:rsidRPr="00162F4A">
        <w:rPr>
          <w:rFonts w:eastAsia="Times New Roman" w:cs="Times New Roman"/>
          <w:kern w:val="0"/>
          <w14:ligatures w14:val="none"/>
        </w:rPr>
        <w:t>: Kan. Stat. Ann. § 75-4318.</w:t>
      </w:r>
    </w:p>
    <w:p w14:paraId="141B354F" w14:textId="77777777" w:rsidR="00040F11" w:rsidRDefault="00040F11"/>
    <w:sectPr w:rsidR="00040F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4DF19" w14:textId="77777777" w:rsidR="005431B1" w:rsidRDefault="005431B1" w:rsidP="00162F4A">
      <w:r>
        <w:separator/>
      </w:r>
    </w:p>
  </w:endnote>
  <w:endnote w:type="continuationSeparator" w:id="0">
    <w:p w14:paraId="03B12B87" w14:textId="77777777" w:rsidR="005431B1" w:rsidRDefault="005431B1" w:rsidP="001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D0AF" w14:textId="77777777" w:rsidR="00162F4A" w:rsidRDefault="00162F4A" w:rsidP="00162F4A">
    <w:pPr>
      <w:pStyle w:val="Footer"/>
      <w:jc w:val="center"/>
    </w:pPr>
    <w:r>
      <w:t>Paid for by Mesa4Education. Vanessa Reid, Treasurer</w:t>
    </w:r>
  </w:p>
  <w:p w14:paraId="1D3107F1" w14:textId="77777777" w:rsidR="00162F4A" w:rsidRDefault="00162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58E84" w14:textId="77777777" w:rsidR="005431B1" w:rsidRDefault="005431B1" w:rsidP="00162F4A">
      <w:r>
        <w:separator/>
      </w:r>
    </w:p>
  </w:footnote>
  <w:footnote w:type="continuationSeparator" w:id="0">
    <w:p w14:paraId="574ABCF6" w14:textId="77777777" w:rsidR="005431B1" w:rsidRDefault="005431B1" w:rsidP="001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299"/>
    <w:multiLevelType w:val="hybridMultilevel"/>
    <w:tmpl w:val="36549886"/>
    <w:lvl w:ilvl="0" w:tplc="E1482B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B5BA1"/>
    <w:multiLevelType w:val="multilevel"/>
    <w:tmpl w:val="11F2C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C624D"/>
    <w:multiLevelType w:val="multilevel"/>
    <w:tmpl w:val="EADA4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76353"/>
    <w:multiLevelType w:val="multilevel"/>
    <w:tmpl w:val="6D88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D3B00"/>
    <w:multiLevelType w:val="multilevel"/>
    <w:tmpl w:val="79F65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6645FE"/>
    <w:multiLevelType w:val="multilevel"/>
    <w:tmpl w:val="A5089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937893">
    <w:abstractNumId w:val="0"/>
  </w:num>
  <w:num w:numId="2" w16cid:durableId="2114931123">
    <w:abstractNumId w:val="4"/>
  </w:num>
  <w:num w:numId="3" w16cid:durableId="645402599">
    <w:abstractNumId w:val="1"/>
  </w:num>
  <w:num w:numId="4" w16cid:durableId="1082415732">
    <w:abstractNumId w:val="2"/>
  </w:num>
  <w:num w:numId="5" w16cid:durableId="639459893">
    <w:abstractNumId w:val="5"/>
  </w:num>
  <w:num w:numId="6" w16cid:durableId="92436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4A"/>
    <w:rsid w:val="00027B54"/>
    <w:rsid w:val="00040F11"/>
    <w:rsid w:val="00162F4A"/>
    <w:rsid w:val="0041131F"/>
    <w:rsid w:val="005431B1"/>
    <w:rsid w:val="00696C0E"/>
    <w:rsid w:val="006B199C"/>
    <w:rsid w:val="00802402"/>
    <w:rsid w:val="00930E41"/>
    <w:rsid w:val="00AA471C"/>
    <w:rsid w:val="00CB2651"/>
    <w:rsid w:val="00ED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338524"/>
  <w15:chartTrackingRefBased/>
  <w15:docId w15:val="{B2CF9E1D-B205-E247-9F7C-F3666E39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2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62F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F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2F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2F4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2F4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2F4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2F4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C0E"/>
    <w:pPr>
      <w:numPr>
        <w:numId w:val="1"/>
      </w:numPr>
      <w:contextualSpacing/>
    </w:pPr>
    <w:rPr>
      <w:szCs w:val="22"/>
    </w:rPr>
  </w:style>
  <w:style w:type="character" w:customStyle="1" w:styleId="Heading1Char">
    <w:name w:val="Heading 1 Char"/>
    <w:basedOn w:val="DefaultParagraphFont"/>
    <w:link w:val="Heading1"/>
    <w:uiPriority w:val="9"/>
    <w:rsid w:val="00162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2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62F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F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2F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2F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2F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2F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2F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2F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F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F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2F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2F4A"/>
    <w:rPr>
      <w:i/>
      <w:iCs/>
      <w:color w:val="404040" w:themeColor="text1" w:themeTint="BF"/>
    </w:rPr>
  </w:style>
  <w:style w:type="character" w:styleId="IntenseEmphasis">
    <w:name w:val="Intense Emphasis"/>
    <w:basedOn w:val="DefaultParagraphFont"/>
    <w:uiPriority w:val="21"/>
    <w:qFormat/>
    <w:rsid w:val="00162F4A"/>
    <w:rPr>
      <w:i/>
      <w:iCs/>
      <w:color w:val="0F4761" w:themeColor="accent1" w:themeShade="BF"/>
    </w:rPr>
  </w:style>
  <w:style w:type="paragraph" w:styleId="IntenseQuote">
    <w:name w:val="Intense Quote"/>
    <w:basedOn w:val="Normal"/>
    <w:next w:val="Normal"/>
    <w:link w:val="IntenseQuoteChar"/>
    <w:uiPriority w:val="30"/>
    <w:qFormat/>
    <w:rsid w:val="00162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F4A"/>
    <w:rPr>
      <w:i/>
      <w:iCs/>
      <w:color w:val="0F4761" w:themeColor="accent1" w:themeShade="BF"/>
    </w:rPr>
  </w:style>
  <w:style w:type="character" w:styleId="IntenseReference">
    <w:name w:val="Intense Reference"/>
    <w:basedOn w:val="DefaultParagraphFont"/>
    <w:uiPriority w:val="32"/>
    <w:qFormat/>
    <w:rsid w:val="00162F4A"/>
    <w:rPr>
      <w:b/>
      <w:bCs/>
      <w:smallCaps/>
      <w:color w:val="0F4761" w:themeColor="accent1" w:themeShade="BF"/>
      <w:spacing w:val="5"/>
    </w:rPr>
  </w:style>
  <w:style w:type="paragraph" w:styleId="NormalWeb">
    <w:name w:val="Normal (Web)"/>
    <w:basedOn w:val="Normal"/>
    <w:uiPriority w:val="99"/>
    <w:semiHidden/>
    <w:unhideWhenUsed/>
    <w:rsid w:val="00162F4A"/>
    <w:pPr>
      <w:spacing w:before="100" w:beforeAutospacing="1" w:after="100" w:afterAutospacing="1"/>
    </w:pPr>
    <w:rPr>
      <w:rFonts w:eastAsia="Times New Roman" w:cs="Times New Roman"/>
      <w:kern w:val="0"/>
      <w14:ligatures w14:val="none"/>
    </w:rPr>
  </w:style>
  <w:style w:type="character" w:styleId="Strong">
    <w:name w:val="Strong"/>
    <w:basedOn w:val="DefaultParagraphFont"/>
    <w:uiPriority w:val="22"/>
    <w:qFormat/>
    <w:rsid w:val="00162F4A"/>
    <w:rPr>
      <w:b/>
      <w:bCs/>
    </w:rPr>
  </w:style>
  <w:style w:type="character" w:styleId="Emphasis">
    <w:name w:val="Emphasis"/>
    <w:basedOn w:val="DefaultParagraphFont"/>
    <w:uiPriority w:val="20"/>
    <w:qFormat/>
    <w:rsid w:val="00162F4A"/>
    <w:rPr>
      <w:i/>
      <w:iCs/>
    </w:rPr>
  </w:style>
  <w:style w:type="paragraph" w:styleId="Header">
    <w:name w:val="header"/>
    <w:basedOn w:val="Normal"/>
    <w:link w:val="HeaderChar"/>
    <w:uiPriority w:val="99"/>
    <w:unhideWhenUsed/>
    <w:rsid w:val="00162F4A"/>
    <w:pPr>
      <w:tabs>
        <w:tab w:val="center" w:pos="4680"/>
        <w:tab w:val="right" w:pos="9360"/>
      </w:tabs>
    </w:pPr>
  </w:style>
  <w:style w:type="character" w:customStyle="1" w:styleId="HeaderChar">
    <w:name w:val="Header Char"/>
    <w:basedOn w:val="DefaultParagraphFont"/>
    <w:link w:val="Header"/>
    <w:uiPriority w:val="99"/>
    <w:rsid w:val="00162F4A"/>
  </w:style>
  <w:style w:type="paragraph" w:styleId="Footer">
    <w:name w:val="footer"/>
    <w:basedOn w:val="Normal"/>
    <w:link w:val="FooterChar"/>
    <w:uiPriority w:val="99"/>
    <w:unhideWhenUsed/>
    <w:rsid w:val="00162F4A"/>
    <w:pPr>
      <w:tabs>
        <w:tab w:val="center" w:pos="4680"/>
        <w:tab w:val="right" w:pos="9360"/>
      </w:tabs>
    </w:pPr>
  </w:style>
  <w:style w:type="character" w:customStyle="1" w:styleId="FooterChar">
    <w:name w:val="Footer Char"/>
    <w:basedOn w:val="DefaultParagraphFont"/>
    <w:link w:val="Footer"/>
    <w:uiPriority w:val="99"/>
    <w:rsid w:val="0016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Mesa</dc:creator>
  <cp:keywords/>
  <dc:description/>
  <cp:lastModifiedBy>Gabriel Mesa</cp:lastModifiedBy>
  <cp:revision>2</cp:revision>
  <cp:lastPrinted>2025-08-30T18:42:00Z</cp:lastPrinted>
  <dcterms:created xsi:type="dcterms:W3CDTF">2025-08-30T19:37:00Z</dcterms:created>
  <dcterms:modified xsi:type="dcterms:W3CDTF">2025-08-30T19:37:00Z</dcterms:modified>
</cp:coreProperties>
</file>