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6D32B" w14:textId="77777777" w:rsidR="0041050D" w:rsidRPr="00382B56" w:rsidRDefault="0067502C" w:rsidP="00251148">
      <w:pPr>
        <w:tabs>
          <w:tab w:val="left" w:pos="0"/>
        </w:tabs>
        <w:ind w:hanging="180"/>
        <w:rPr>
          <w:rFonts w:ascii="Times New Roman" w:hAnsi="Times New Roman" w:cs="Times New Roman"/>
          <w:sz w:val="2"/>
          <w:szCs w:val="24"/>
        </w:rPr>
      </w:pPr>
      <w:r w:rsidRPr="0067502C">
        <w:rPr>
          <w:rFonts w:ascii="Times New Roman" w:hAnsi="Times New Roman" w:cs="Times New Roman"/>
          <w:noProof/>
          <w:sz w:val="2"/>
          <w:szCs w:val="24"/>
        </w:rPr>
        <w:drawing>
          <wp:anchor distT="0" distB="0" distL="114300" distR="114300" simplePos="0" relativeHeight="251658240" behindDoc="1" locked="0" layoutInCell="1" allowOverlap="1" wp14:anchorId="7AD4F867" wp14:editId="574A74F6">
            <wp:simplePos x="0" y="0"/>
            <wp:positionH relativeFrom="column">
              <wp:posOffset>-617855</wp:posOffset>
            </wp:positionH>
            <wp:positionV relativeFrom="paragraph">
              <wp:posOffset>0</wp:posOffset>
            </wp:positionV>
            <wp:extent cx="6994598" cy="1071246"/>
            <wp:effectExtent l="0" t="0" r="0" b="0"/>
            <wp:wrapTight wrapText="bothSides">
              <wp:wrapPolygon edited="0">
                <wp:start x="0" y="0"/>
                <wp:lineTo x="0" y="21126"/>
                <wp:lineTo x="21531" y="21126"/>
                <wp:lineTo x="21531" y="0"/>
                <wp:lineTo x="0" y="0"/>
              </wp:wrapPolygon>
            </wp:wrapTight>
            <wp:docPr id="2" name="Picture 2" descr="C:\Users\Kris\Desktop\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Desktop\Letterhead.pn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994598" cy="1071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0038C" w14:textId="77777777" w:rsidR="00382B56" w:rsidRDefault="00382B56" w:rsidP="001F1901">
      <w:pPr>
        <w:spacing w:after="0"/>
        <w:ind w:right="1869"/>
        <w:jc w:val="center"/>
        <w:rPr>
          <w:rFonts w:ascii="Times New Roman" w:eastAsia="Times New Roman" w:hAnsi="Times New Roman" w:cs="Times New Roman"/>
          <w:u w:val="single"/>
        </w:rPr>
      </w:pPr>
      <w:r>
        <w:rPr>
          <w:rFonts w:ascii="Times New Roman" w:eastAsia="Times New Roman" w:hAnsi="Times New Roman" w:cs="Times New Roman"/>
          <w:b/>
          <w:sz w:val="24"/>
        </w:rPr>
        <w:t xml:space="preserve">            </w:t>
      </w:r>
      <w:r w:rsidRPr="00382B5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509CD">
        <w:rPr>
          <w:rFonts w:ascii="Times New Roman" w:eastAsia="Times New Roman" w:hAnsi="Times New Roman" w:cs="Times New Roman"/>
          <w:sz w:val="24"/>
        </w:rPr>
        <w:tab/>
        <w:t xml:space="preserve">     </w:t>
      </w:r>
      <w:r w:rsidR="001F1901" w:rsidRPr="001F1901">
        <w:rPr>
          <w:rFonts w:ascii="Times New Roman" w:eastAsia="Times New Roman" w:hAnsi="Times New Roman" w:cs="Times New Roman"/>
          <w:u w:val="single"/>
        </w:rPr>
        <w:t>Consent Form</w:t>
      </w:r>
    </w:p>
    <w:p w14:paraId="6664CD0D" w14:textId="77777777" w:rsidR="00AF5569" w:rsidRPr="00AF5569" w:rsidRDefault="00AF5569" w:rsidP="001F1901">
      <w:pPr>
        <w:spacing w:after="0"/>
        <w:ind w:right="1869"/>
        <w:jc w:val="center"/>
        <w:rPr>
          <w:rFonts w:ascii="Times New Roman" w:eastAsia="Times New Roman" w:hAnsi="Times New Roman" w:cs="Times New Roman"/>
          <w:sz w:val="14"/>
          <w:u w:val="single"/>
        </w:rPr>
      </w:pPr>
    </w:p>
    <w:p w14:paraId="441B5898" w14:textId="77777777" w:rsidR="001F1901" w:rsidRPr="00AF5569" w:rsidRDefault="001F1901" w:rsidP="00D25912">
      <w:pPr>
        <w:pStyle w:val="ListParagraph"/>
        <w:numPr>
          <w:ilvl w:val="0"/>
          <w:numId w:val="2"/>
        </w:numPr>
        <w:spacing w:after="0"/>
        <w:ind w:left="90" w:hanging="180"/>
        <w:rPr>
          <w:rFonts w:ascii="Times New Roman" w:eastAsia="Times New Roman" w:hAnsi="Times New Roman" w:cs="Times New Roman"/>
        </w:rPr>
      </w:pPr>
      <w:r w:rsidRPr="00AF5569">
        <w:rPr>
          <w:rFonts w:ascii="Times New Roman" w:eastAsia="Times New Roman" w:hAnsi="Times New Roman" w:cs="Times New Roman"/>
        </w:rPr>
        <w:t>A proper diagnosis regarding head and neck pain is very important because serious problems such as vascular disorders, brain tumors, cervical disc disorders, etc., can produce similar symptoms to TMJ disorders. It is important to inform our office of any changes in your health history form that previously provided.</w:t>
      </w:r>
    </w:p>
    <w:p w14:paraId="68229622" w14:textId="77777777" w:rsidR="001F1901" w:rsidRPr="00AF5569" w:rsidRDefault="001F1901" w:rsidP="00D25912">
      <w:pPr>
        <w:spacing w:after="0"/>
        <w:ind w:left="90" w:hanging="180"/>
        <w:rPr>
          <w:rFonts w:ascii="Times New Roman" w:eastAsia="Times New Roman" w:hAnsi="Times New Roman" w:cs="Times New Roman"/>
          <w:sz w:val="10"/>
        </w:rPr>
      </w:pPr>
    </w:p>
    <w:p w14:paraId="11E68B2B" w14:textId="77777777" w:rsidR="001F1901" w:rsidRPr="00AF5569" w:rsidRDefault="001F1901" w:rsidP="00D25912">
      <w:pPr>
        <w:pStyle w:val="ListParagraph"/>
        <w:numPr>
          <w:ilvl w:val="0"/>
          <w:numId w:val="2"/>
        </w:numPr>
        <w:spacing w:after="0"/>
        <w:ind w:left="90" w:hanging="180"/>
        <w:rPr>
          <w:rFonts w:ascii="Times New Roman" w:eastAsia="Times New Roman" w:hAnsi="Times New Roman" w:cs="Times New Roman"/>
        </w:rPr>
      </w:pPr>
      <w:r w:rsidRPr="00AF5569">
        <w:rPr>
          <w:rFonts w:ascii="Times New Roman" w:eastAsia="Times New Roman" w:hAnsi="Times New Roman" w:cs="Times New Roman"/>
        </w:rPr>
        <w:t>In order to achieve a successful outcome of your treatment, it is crucial</w:t>
      </w:r>
      <w:r w:rsidR="00B97432" w:rsidRPr="00AF5569">
        <w:rPr>
          <w:rFonts w:ascii="Times New Roman" w:eastAsia="Times New Roman" w:hAnsi="Times New Roman" w:cs="Times New Roman"/>
        </w:rPr>
        <w:t xml:space="preserve"> that you make a commitment to keep all scheduled appointment and to remain in treatment until you are medically stationary. It had been our experience that most patients will achieve medical stability in 4-6 months from the time treatment begins.</w:t>
      </w:r>
    </w:p>
    <w:p w14:paraId="5475AAEA" w14:textId="77777777" w:rsidR="00B97432" w:rsidRPr="00AF5569" w:rsidRDefault="00B97432" w:rsidP="00D25912">
      <w:pPr>
        <w:spacing w:after="0"/>
        <w:ind w:left="90" w:hanging="180"/>
        <w:rPr>
          <w:rFonts w:ascii="Times New Roman" w:eastAsia="Times New Roman" w:hAnsi="Times New Roman" w:cs="Times New Roman"/>
          <w:sz w:val="10"/>
        </w:rPr>
      </w:pPr>
    </w:p>
    <w:p w14:paraId="412AB8FC" w14:textId="77777777" w:rsidR="00B97432" w:rsidRPr="00AF5569" w:rsidRDefault="00B97432" w:rsidP="00D25912">
      <w:pPr>
        <w:pStyle w:val="ListParagraph"/>
        <w:numPr>
          <w:ilvl w:val="0"/>
          <w:numId w:val="2"/>
        </w:numPr>
        <w:spacing w:after="0"/>
        <w:ind w:left="90" w:hanging="180"/>
        <w:rPr>
          <w:rFonts w:ascii="Times New Roman" w:eastAsia="Times New Roman" w:hAnsi="Times New Roman" w:cs="Times New Roman"/>
        </w:rPr>
      </w:pPr>
      <w:r w:rsidRPr="00AF5569">
        <w:rPr>
          <w:rFonts w:ascii="Times New Roman" w:eastAsia="Times New Roman" w:hAnsi="Times New Roman" w:cs="Times New Roman"/>
        </w:rPr>
        <w:t>Length of treatment may vary according to the complexity of your condition. Treatment times, ther</w:t>
      </w:r>
      <w:r w:rsidR="00774DBD" w:rsidRPr="00AF5569">
        <w:rPr>
          <w:rFonts w:ascii="Times New Roman" w:eastAsia="Times New Roman" w:hAnsi="Times New Roman" w:cs="Times New Roman"/>
        </w:rPr>
        <w:t>efore, may vary from estimation. Although most conditions respond well to treatment, general health, stress, degree of tissue injury, posture, age, work habits, bite relationships, etc., do affect the outcome, and to</w:t>
      </w:r>
      <w:r w:rsidR="00693459" w:rsidRPr="00AF5569">
        <w:rPr>
          <w:rFonts w:ascii="Times New Roman" w:eastAsia="Times New Roman" w:hAnsi="Times New Roman" w:cs="Times New Roman"/>
        </w:rPr>
        <w:t>tal resolution is not always possible.</w:t>
      </w:r>
    </w:p>
    <w:p w14:paraId="1F077D8E" w14:textId="77777777" w:rsidR="00693459" w:rsidRPr="00AF5569" w:rsidRDefault="00693459" w:rsidP="00D25912">
      <w:pPr>
        <w:spacing w:after="0"/>
        <w:ind w:left="90" w:hanging="180"/>
        <w:rPr>
          <w:rFonts w:ascii="Times New Roman" w:eastAsia="Times New Roman" w:hAnsi="Times New Roman" w:cs="Times New Roman"/>
          <w:sz w:val="10"/>
        </w:rPr>
      </w:pPr>
    </w:p>
    <w:p w14:paraId="7D687A89" w14:textId="77777777" w:rsidR="00693459" w:rsidRPr="00AF5569" w:rsidRDefault="00693459" w:rsidP="00D25912">
      <w:pPr>
        <w:pStyle w:val="ListParagraph"/>
        <w:numPr>
          <w:ilvl w:val="0"/>
          <w:numId w:val="2"/>
        </w:numPr>
        <w:spacing w:after="0"/>
        <w:ind w:left="90" w:hanging="180"/>
        <w:rPr>
          <w:rFonts w:ascii="Times New Roman" w:eastAsia="Times New Roman" w:hAnsi="Times New Roman" w:cs="Times New Roman"/>
        </w:rPr>
      </w:pPr>
      <w:r w:rsidRPr="00AF5569">
        <w:rPr>
          <w:rFonts w:ascii="Times New Roman" w:eastAsia="Times New Roman" w:hAnsi="Times New Roman" w:cs="Times New Roman"/>
        </w:rPr>
        <w:t xml:space="preserve">The treatment methods we will use are based on our experience and knowledge to be the most proven, appropriate, cost-effective and conservative. However, you should be aware there is much debate in the medical- dental community </w:t>
      </w:r>
      <w:r w:rsidR="00F41BFA" w:rsidRPr="00AF5569">
        <w:rPr>
          <w:rFonts w:ascii="Times New Roman" w:eastAsia="Times New Roman" w:hAnsi="Times New Roman" w:cs="Times New Roman"/>
        </w:rPr>
        <w:t xml:space="preserve">regarding the best way to treat various TMJ disorders. </w:t>
      </w:r>
    </w:p>
    <w:p w14:paraId="2C31E4B0" w14:textId="77777777" w:rsidR="00F41BFA" w:rsidRPr="00AF5569" w:rsidRDefault="00F41BFA" w:rsidP="00D25912">
      <w:pPr>
        <w:spacing w:after="0"/>
        <w:ind w:left="90" w:hanging="180"/>
        <w:rPr>
          <w:rFonts w:ascii="Times New Roman" w:eastAsia="Times New Roman" w:hAnsi="Times New Roman" w:cs="Times New Roman"/>
          <w:sz w:val="10"/>
        </w:rPr>
      </w:pPr>
    </w:p>
    <w:p w14:paraId="111F04CA" w14:textId="77777777" w:rsidR="00F41BFA" w:rsidRPr="00AF5569" w:rsidRDefault="00F41BFA" w:rsidP="00D25912">
      <w:pPr>
        <w:pStyle w:val="ListParagraph"/>
        <w:numPr>
          <w:ilvl w:val="0"/>
          <w:numId w:val="2"/>
        </w:numPr>
        <w:spacing w:after="0"/>
        <w:ind w:left="90" w:hanging="180"/>
        <w:rPr>
          <w:rFonts w:ascii="Times New Roman" w:eastAsia="Times New Roman" w:hAnsi="Times New Roman" w:cs="Times New Roman"/>
        </w:rPr>
      </w:pPr>
      <w:r w:rsidRPr="00AF5569">
        <w:rPr>
          <w:rFonts w:ascii="Times New Roman" w:eastAsia="Times New Roman" w:hAnsi="Times New Roman" w:cs="Times New Roman"/>
        </w:rPr>
        <w:t>If an appliance is used in your treatment, it is theoretically possible for the appliance to be swallowed or inhaled. It must be said that a swallowed appliance may have to be surgically removed, and inhaled appliances may lead to respiratory arrest and death.</w:t>
      </w:r>
    </w:p>
    <w:p w14:paraId="6E076C7B" w14:textId="77777777" w:rsidR="00F41BFA" w:rsidRPr="00AF5569" w:rsidRDefault="00F41BFA" w:rsidP="00D25912">
      <w:pPr>
        <w:spacing w:after="0"/>
        <w:ind w:left="90" w:hanging="180"/>
        <w:rPr>
          <w:rFonts w:ascii="Times New Roman" w:eastAsia="Times New Roman" w:hAnsi="Times New Roman" w:cs="Times New Roman"/>
          <w:sz w:val="10"/>
        </w:rPr>
      </w:pPr>
    </w:p>
    <w:p w14:paraId="2DD9A63E" w14:textId="23D75D6B" w:rsidR="00F41BFA" w:rsidRPr="00D25912" w:rsidRDefault="00F41BFA" w:rsidP="00D25912">
      <w:pPr>
        <w:pStyle w:val="ListParagraph"/>
        <w:numPr>
          <w:ilvl w:val="0"/>
          <w:numId w:val="2"/>
        </w:numPr>
        <w:spacing w:after="0"/>
        <w:ind w:left="90" w:hanging="180"/>
        <w:rPr>
          <w:rFonts w:ascii="Times New Roman" w:eastAsia="Times New Roman" w:hAnsi="Times New Roman" w:cs="Times New Roman"/>
        </w:rPr>
      </w:pPr>
      <w:r w:rsidRPr="00D25912">
        <w:rPr>
          <w:rFonts w:ascii="Times New Roman" w:eastAsia="Times New Roman" w:hAnsi="Times New Roman" w:cs="Times New Roman"/>
        </w:rPr>
        <w:t xml:space="preserve">As with any medical or dental treatment, unusual occurrences can and do happen. These possibilities could include minor tooth movement, broken or loosen teeth of dental restorations, sore mouth, </w:t>
      </w:r>
      <w:r w:rsidR="00DA476E">
        <w:rPr>
          <w:rFonts w:ascii="Times New Roman" w:eastAsia="Times New Roman" w:hAnsi="Times New Roman" w:cs="Times New Roman"/>
        </w:rPr>
        <w:t>changes in bite</w:t>
      </w:r>
      <w:bookmarkStart w:id="0" w:name="_GoBack"/>
      <w:bookmarkEnd w:id="0"/>
      <w:r w:rsidR="00DA476E">
        <w:rPr>
          <w:rFonts w:ascii="Times New Roman" w:eastAsia="Times New Roman" w:hAnsi="Times New Roman" w:cs="Times New Roman"/>
        </w:rPr>
        <w:t xml:space="preserve"> or occlusion, </w:t>
      </w:r>
      <w:r w:rsidRPr="00D25912">
        <w:rPr>
          <w:rFonts w:ascii="Times New Roman" w:eastAsia="Times New Roman" w:hAnsi="Times New Roman" w:cs="Times New Roman"/>
        </w:rPr>
        <w:t>periodontal problems, muscle spasms</w:t>
      </w:r>
      <w:r w:rsidR="00A20D59" w:rsidRPr="00D25912">
        <w:rPr>
          <w:rFonts w:ascii="Times New Roman" w:eastAsia="Times New Roman" w:hAnsi="Times New Roman" w:cs="Times New Roman"/>
        </w:rPr>
        <w:t>, ear pain, neck pain, etc. Any of the mentioned complication</w:t>
      </w:r>
      <w:r w:rsidR="00DA476E">
        <w:rPr>
          <w:rFonts w:ascii="Times New Roman" w:eastAsia="Times New Roman" w:hAnsi="Times New Roman" w:cs="Times New Roman"/>
        </w:rPr>
        <w:t>s</w:t>
      </w:r>
      <w:r w:rsidR="00A20D59" w:rsidRPr="00D25912">
        <w:rPr>
          <w:rFonts w:ascii="Times New Roman" w:eastAsia="Times New Roman" w:hAnsi="Times New Roman" w:cs="Times New Roman"/>
        </w:rPr>
        <w:t xml:space="preserve"> are rare, but theoretically may occur. Additional medical and dental risk that have been mentioned may occur.</w:t>
      </w:r>
    </w:p>
    <w:p w14:paraId="11CB603C" w14:textId="77777777" w:rsidR="00971B3A" w:rsidRPr="00AF5569" w:rsidRDefault="00971B3A" w:rsidP="00D25912">
      <w:pPr>
        <w:spacing w:after="0"/>
        <w:ind w:left="90" w:hanging="180"/>
        <w:rPr>
          <w:rFonts w:ascii="Times New Roman" w:eastAsia="Times New Roman" w:hAnsi="Times New Roman" w:cs="Times New Roman"/>
          <w:sz w:val="10"/>
        </w:rPr>
      </w:pPr>
    </w:p>
    <w:p w14:paraId="42378AC1" w14:textId="2F22E368" w:rsidR="00971B3A" w:rsidRPr="00D25912" w:rsidRDefault="00971B3A" w:rsidP="00D25912">
      <w:pPr>
        <w:pStyle w:val="ListParagraph"/>
        <w:numPr>
          <w:ilvl w:val="0"/>
          <w:numId w:val="2"/>
        </w:numPr>
        <w:spacing w:after="0"/>
        <w:ind w:left="90" w:hanging="180"/>
        <w:rPr>
          <w:rFonts w:ascii="Times New Roman" w:eastAsia="Times New Roman" w:hAnsi="Times New Roman" w:cs="Times New Roman"/>
        </w:rPr>
      </w:pPr>
      <w:r w:rsidRPr="00D25912">
        <w:rPr>
          <w:rFonts w:ascii="Times New Roman" w:eastAsia="Times New Roman" w:hAnsi="Times New Roman" w:cs="Times New Roman"/>
        </w:rPr>
        <w:t xml:space="preserve">You must always bring your splint with you for </w:t>
      </w:r>
      <w:r w:rsidR="00DA476E" w:rsidRPr="00D25912">
        <w:rPr>
          <w:rFonts w:ascii="Times New Roman" w:eastAsia="Times New Roman" w:hAnsi="Times New Roman" w:cs="Times New Roman"/>
        </w:rPr>
        <w:t>each</w:t>
      </w:r>
      <w:r w:rsidRPr="00D25912">
        <w:rPr>
          <w:rFonts w:ascii="Times New Roman" w:eastAsia="Times New Roman" w:hAnsi="Times New Roman" w:cs="Times New Roman"/>
        </w:rPr>
        <w:t xml:space="preserve"> appointment. Your splint will be re-evaluated in approximately six weeks form the time you receive </w:t>
      </w:r>
      <w:r w:rsidR="00DA476E" w:rsidRPr="00D25912">
        <w:rPr>
          <w:rFonts w:ascii="Times New Roman" w:eastAsia="Times New Roman" w:hAnsi="Times New Roman" w:cs="Times New Roman"/>
        </w:rPr>
        <w:t>it and</w:t>
      </w:r>
      <w:r w:rsidRPr="00D25912">
        <w:rPr>
          <w:rFonts w:ascii="Times New Roman" w:eastAsia="Times New Roman" w:hAnsi="Times New Roman" w:cs="Times New Roman"/>
        </w:rPr>
        <w:t xml:space="preserve"> may require a change in the treatment position at that time.</w:t>
      </w:r>
    </w:p>
    <w:p w14:paraId="67D2E75A" w14:textId="77777777" w:rsidR="00971B3A" w:rsidRPr="00AF5569" w:rsidRDefault="00971B3A" w:rsidP="00D25912">
      <w:pPr>
        <w:spacing w:after="0"/>
        <w:ind w:left="90" w:hanging="180"/>
        <w:rPr>
          <w:rFonts w:ascii="Times New Roman" w:eastAsia="Times New Roman" w:hAnsi="Times New Roman" w:cs="Times New Roman"/>
          <w:sz w:val="10"/>
        </w:rPr>
      </w:pPr>
    </w:p>
    <w:p w14:paraId="21024E59" w14:textId="0E16072B" w:rsidR="00971B3A" w:rsidRPr="00D25912" w:rsidRDefault="00C770DE" w:rsidP="00D25912">
      <w:pPr>
        <w:pStyle w:val="ListParagraph"/>
        <w:numPr>
          <w:ilvl w:val="0"/>
          <w:numId w:val="2"/>
        </w:numPr>
        <w:spacing w:after="0"/>
        <w:ind w:left="90" w:hanging="180"/>
        <w:rPr>
          <w:rFonts w:ascii="Times New Roman" w:eastAsia="Times New Roman" w:hAnsi="Times New Roman" w:cs="Times New Roman"/>
        </w:rPr>
      </w:pPr>
      <w:r>
        <w:rPr>
          <w:rFonts w:ascii="Times New Roman" w:eastAsia="Times New Roman" w:hAnsi="Times New Roman" w:cs="Times New Roman"/>
        </w:rPr>
        <w:t>Any balance after insurance payments are patient responsibility. Please communicate with the office staff and remit payment when services are rendered. If no payment is received within 60 days, you will be sent to collections and charged a $200 processing fee.</w:t>
      </w:r>
    </w:p>
    <w:p w14:paraId="70848053" w14:textId="77777777" w:rsidR="00971B3A" w:rsidRPr="00AF5569" w:rsidRDefault="00971B3A" w:rsidP="001F1901">
      <w:pPr>
        <w:spacing w:after="0"/>
        <w:rPr>
          <w:rFonts w:ascii="Times New Roman" w:eastAsia="Times New Roman" w:hAnsi="Times New Roman" w:cs="Times New Roman"/>
          <w:sz w:val="10"/>
        </w:rPr>
      </w:pPr>
    </w:p>
    <w:p w14:paraId="263BE1BF" w14:textId="77777777" w:rsidR="00971B3A" w:rsidRPr="00D25912" w:rsidRDefault="00971B3A" w:rsidP="00D25912">
      <w:pPr>
        <w:spacing w:after="0"/>
        <w:rPr>
          <w:rFonts w:ascii="Times New Roman" w:eastAsia="Times New Roman" w:hAnsi="Times New Roman" w:cs="Times New Roman"/>
        </w:rPr>
      </w:pPr>
      <w:r w:rsidRPr="00D25912">
        <w:rPr>
          <w:rFonts w:ascii="Times New Roman" w:eastAsia="Times New Roman" w:hAnsi="Times New Roman" w:cs="Times New Roman"/>
        </w:rPr>
        <w:t>I have read or had read to me the information in this information consent, reali</w:t>
      </w:r>
      <w:r w:rsidR="00863096" w:rsidRPr="00D25912">
        <w:rPr>
          <w:rFonts w:ascii="Times New Roman" w:eastAsia="Times New Roman" w:hAnsi="Times New Roman" w:cs="Times New Roman"/>
        </w:rPr>
        <w:t>z</w:t>
      </w:r>
      <w:r w:rsidRPr="00D25912">
        <w:rPr>
          <w:rFonts w:ascii="Times New Roman" w:eastAsia="Times New Roman" w:hAnsi="Times New Roman" w:cs="Times New Roman"/>
        </w:rPr>
        <w:t xml:space="preserve">ed the risk and limitations involved, and consent to treatment. I </w:t>
      </w:r>
      <w:r w:rsidR="00863096" w:rsidRPr="00D25912">
        <w:rPr>
          <w:rFonts w:ascii="Times New Roman" w:eastAsia="Times New Roman" w:hAnsi="Times New Roman" w:cs="Times New Roman"/>
        </w:rPr>
        <w:t xml:space="preserve">understand that any of my photographs, models, and x-rays may be used in scientific papers or demonstrations. </w:t>
      </w:r>
      <w:r w:rsidRPr="00D25912">
        <w:rPr>
          <w:rFonts w:ascii="Times New Roman" w:eastAsia="Times New Roman" w:hAnsi="Times New Roman" w:cs="Times New Roman"/>
        </w:rPr>
        <w:t xml:space="preserve"> </w:t>
      </w:r>
    </w:p>
    <w:p w14:paraId="62501DF2" w14:textId="77777777" w:rsidR="00AF5569" w:rsidRPr="00AF5569" w:rsidRDefault="00AF5569" w:rsidP="001F1901">
      <w:pPr>
        <w:spacing w:after="0"/>
        <w:rPr>
          <w:rFonts w:ascii="Times New Roman" w:eastAsia="Times New Roman" w:hAnsi="Times New Roman" w:cs="Times New Roman"/>
          <w:sz w:val="10"/>
          <w:szCs w:val="10"/>
        </w:rPr>
      </w:pPr>
    </w:p>
    <w:p w14:paraId="3699CAA5" w14:textId="77777777" w:rsidR="00863096" w:rsidRPr="00AF5569" w:rsidRDefault="00863096" w:rsidP="001F1901">
      <w:pPr>
        <w:spacing w:after="0"/>
        <w:rPr>
          <w:rFonts w:ascii="Times New Roman" w:eastAsia="Calibri" w:hAnsi="Times New Roman" w:cs="Times New Roman"/>
          <w:i/>
          <w:color w:val="000000"/>
          <w:sz w:val="20"/>
        </w:rPr>
      </w:pPr>
      <w:r w:rsidRPr="00AF5569">
        <w:rPr>
          <w:rFonts w:ascii="Times New Roman" w:eastAsia="Times New Roman" w:hAnsi="Times New Roman" w:cs="Times New Roman"/>
          <w:i/>
        </w:rPr>
        <w:t xml:space="preserve">I also understand that Dr. Arthur l. </w:t>
      </w:r>
      <w:r w:rsidR="00AF5569" w:rsidRPr="00AF5569">
        <w:rPr>
          <w:rFonts w:ascii="Times New Roman" w:eastAsia="Times New Roman" w:hAnsi="Times New Roman" w:cs="Times New Roman"/>
          <w:i/>
        </w:rPr>
        <w:t>Parker and Dr. Priya Mistry are not contractual providers with any insurance company.</w:t>
      </w:r>
    </w:p>
    <w:p w14:paraId="44FFEDD7" w14:textId="77777777" w:rsidR="00ED1EB8" w:rsidRDefault="00382B56" w:rsidP="00382B56">
      <w:pPr>
        <w:spacing w:after="0"/>
        <w:rPr>
          <w:rFonts w:ascii="Times New Roman" w:eastAsia="Times New Roman" w:hAnsi="Times New Roman" w:cs="Times New Roman"/>
          <w:sz w:val="24"/>
        </w:rPr>
      </w:pPr>
      <w:r w:rsidRPr="001F1901">
        <w:rPr>
          <w:rFonts w:ascii="Times New Roman" w:eastAsia="Times New Roman" w:hAnsi="Times New Roman" w:cs="Times New Roman"/>
          <w:sz w:val="24"/>
        </w:rPr>
        <w:t xml:space="preserve"> </w:t>
      </w:r>
    </w:p>
    <w:p w14:paraId="2954190A" w14:textId="77777777" w:rsidR="008F640D" w:rsidRPr="00382B56" w:rsidRDefault="00382B56" w:rsidP="00911F7C">
      <w:pPr>
        <w:spacing w:after="0"/>
        <w:rPr>
          <w:rFonts w:ascii="Times New Roman" w:hAnsi="Times New Roman" w:cs="Times New Roman"/>
          <w:sz w:val="2"/>
          <w:szCs w:val="24"/>
        </w:rPr>
      </w:pPr>
      <w:r w:rsidRPr="00382B56">
        <w:rPr>
          <w:rFonts w:ascii="Times New Roman" w:eastAsia="Times New Roman" w:hAnsi="Times New Roman" w:cs="Times New Roman"/>
          <w:sz w:val="24"/>
        </w:rPr>
        <w:t xml:space="preserve"> </w:t>
      </w:r>
    </w:p>
    <w:p w14:paraId="1A51567F" w14:textId="77777777" w:rsidR="008F640D" w:rsidRPr="00382B56" w:rsidRDefault="008F640D" w:rsidP="00694683">
      <w:pPr>
        <w:tabs>
          <w:tab w:val="left" w:pos="0"/>
        </w:tabs>
        <w:spacing w:after="0"/>
        <w:ind w:hanging="180"/>
        <w:rPr>
          <w:rFonts w:ascii="Times New Roman" w:hAnsi="Times New Roman" w:cs="Times New Roman"/>
          <w:szCs w:val="24"/>
        </w:rPr>
      </w:pPr>
      <w:r w:rsidRPr="00382B56">
        <w:rPr>
          <w:rFonts w:ascii="Times New Roman" w:hAnsi="Times New Roman" w:cs="Times New Roman"/>
          <w:szCs w:val="24"/>
        </w:rPr>
        <w:t>________________________________________________</w:t>
      </w:r>
      <w:r w:rsidRPr="00382B56">
        <w:rPr>
          <w:rFonts w:ascii="Times New Roman" w:hAnsi="Times New Roman" w:cs="Times New Roman"/>
          <w:szCs w:val="24"/>
        </w:rPr>
        <w:tab/>
      </w:r>
      <w:r w:rsidR="00D53093">
        <w:rPr>
          <w:rFonts w:ascii="Times New Roman" w:hAnsi="Times New Roman" w:cs="Times New Roman"/>
          <w:szCs w:val="24"/>
        </w:rPr>
        <w:tab/>
      </w:r>
      <w:r w:rsidRPr="00382B56">
        <w:rPr>
          <w:rFonts w:ascii="Times New Roman" w:hAnsi="Times New Roman" w:cs="Times New Roman"/>
          <w:szCs w:val="24"/>
        </w:rPr>
        <w:t>________________________</w:t>
      </w:r>
    </w:p>
    <w:p w14:paraId="3D701303" w14:textId="77777777" w:rsidR="008F640D" w:rsidRPr="00382B56" w:rsidRDefault="008F640D" w:rsidP="00694683">
      <w:pPr>
        <w:tabs>
          <w:tab w:val="left" w:pos="0"/>
        </w:tabs>
        <w:spacing w:after="0"/>
        <w:ind w:hanging="180"/>
        <w:rPr>
          <w:rFonts w:ascii="Times New Roman" w:hAnsi="Times New Roman" w:cs="Times New Roman"/>
          <w:szCs w:val="24"/>
        </w:rPr>
      </w:pPr>
      <w:r w:rsidRPr="00382B56">
        <w:rPr>
          <w:rFonts w:ascii="Times New Roman" w:hAnsi="Times New Roman" w:cs="Times New Roman"/>
          <w:szCs w:val="24"/>
        </w:rPr>
        <w:t xml:space="preserve">Signature of Patient and/or Legal Guardian </w:t>
      </w:r>
      <w:r w:rsidRPr="00382B56">
        <w:rPr>
          <w:rFonts w:ascii="Times New Roman" w:hAnsi="Times New Roman" w:cs="Times New Roman"/>
          <w:szCs w:val="24"/>
        </w:rPr>
        <w:tab/>
      </w:r>
      <w:r w:rsidRPr="00382B56">
        <w:rPr>
          <w:rFonts w:ascii="Times New Roman" w:hAnsi="Times New Roman" w:cs="Times New Roman"/>
          <w:szCs w:val="24"/>
        </w:rPr>
        <w:tab/>
      </w:r>
      <w:r w:rsidRPr="00382B56">
        <w:rPr>
          <w:rFonts w:ascii="Times New Roman" w:hAnsi="Times New Roman" w:cs="Times New Roman"/>
          <w:szCs w:val="24"/>
        </w:rPr>
        <w:tab/>
      </w:r>
      <w:r w:rsidR="00D53093">
        <w:rPr>
          <w:rFonts w:ascii="Times New Roman" w:hAnsi="Times New Roman" w:cs="Times New Roman"/>
          <w:szCs w:val="24"/>
        </w:rPr>
        <w:tab/>
      </w:r>
      <w:r w:rsidRPr="00382B56">
        <w:rPr>
          <w:rFonts w:ascii="Times New Roman" w:hAnsi="Times New Roman" w:cs="Times New Roman"/>
          <w:szCs w:val="24"/>
        </w:rPr>
        <w:t>Date</w:t>
      </w:r>
    </w:p>
    <w:p w14:paraId="0F9641DE" w14:textId="77777777" w:rsidR="00694683" w:rsidRDefault="00ED1EB8" w:rsidP="00694683">
      <w:pPr>
        <w:tabs>
          <w:tab w:val="left" w:pos="0"/>
        </w:tabs>
        <w:spacing w:after="0"/>
        <w:ind w:hanging="180"/>
        <w:rPr>
          <w:rFonts w:ascii="Times New Roman" w:hAnsi="Times New Roman" w:cs="Times New Roman"/>
          <w:szCs w:val="24"/>
        </w:rPr>
      </w:pPr>
      <w:r>
        <w:rPr>
          <w:rFonts w:ascii="Times New Roman" w:hAnsi="Times New Roman" w:cs="Times New Roman"/>
          <w:szCs w:val="24"/>
        </w:rPr>
        <w:t>________________________________________________</w:t>
      </w:r>
    </w:p>
    <w:p w14:paraId="1269AB15" w14:textId="77777777" w:rsidR="008F640D" w:rsidRPr="00382B56" w:rsidRDefault="00ED1EB8" w:rsidP="00911F7C">
      <w:pPr>
        <w:tabs>
          <w:tab w:val="left" w:pos="0"/>
        </w:tabs>
        <w:spacing w:after="0"/>
        <w:ind w:hanging="180"/>
        <w:rPr>
          <w:rFonts w:ascii="Times New Roman" w:hAnsi="Times New Roman" w:cs="Times New Roman"/>
          <w:szCs w:val="24"/>
        </w:rPr>
      </w:pPr>
      <w:r>
        <w:rPr>
          <w:rFonts w:ascii="Times New Roman" w:hAnsi="Times New Roman" w:cs="Times New Roman"/>
          <w:szCs w:val="24"/>
        </w:rPr>
        <w:t xml:space="preserve">Printed Name of Patient </w:t>
      </w:r>
    </w:p>
    <w:sectPr w:rsidR="008F640D" w:rsidRPr="00382B56" w:rsidSect="00694683">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548AB"/>
    <w:multiLevelType w:val="hybridMultilevel"/>
    <w:tmpl w:val="E918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56785F"/>
    <w:multiLevelType w:val="hybridMultilevel"/>
    <w:tmpl w:val="E89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24"/>
    <w:rsid w:val="00035B35"/>
    <w:rsid w:val="000509CD"/>
    <w:rsid w:val="00090F9F"/>
    <w:rsid w:val="000A1EF6"/>
    <w:rsid w:val="00137D7B"/>
    <w:rsid w:val="00160300"/>
    <w:rsid w:val="00166124"/>
    <w:rsid w:val="00175317"/>
    <w:rsid w:val="001E35A5"/>
    <w:rsid w:val="001E69A3"/>
    <w:rsid w:val="001F1901"/>
    <w:rsid w:val="002419B7"/>
    <w:rsid w:val="00251148"/>
    <w:rsid w:val="00252E99"/>
    <w:rsid w:val="002B0673"/>
    <w:rsid w:val="002B1B8B"/>
    <w:rsid w:val="002F36F5"/>
    <w:rsid w:val="00311884"/>
    <w:rsid w:val="00365B7A"/>
    <w:rsid w:val="00382B56"/>
    <w:rsid w:val="003874B7"/>
    <w:rsid w:val="003A2128"/>
    <w:rsid w:val="003A7A5A"/>
    <w:rsid w:val="0041050D"/>
    <w:rsid w:val="005D357D"/>
    <w:rsid w:val="0067502C"/>
    <w:rsid w:val="00693459"/>
    <w:rsid w:val="00694683"/>
    <w:rsid w:val="006C6808"/>
    <w:rsid w:val="006D5A27"/>
    <w:rsid w:val="006F24C4"/>
    <w:rsid w:val="0070596C"/>
    <w:rsid w:val="00706DDF"/>
    <w:rsid w:val="00774DBD"/>
    <w:rsid w:val="007E0571"/>
    <w:rsid w:val="00800214"/>
    <w:rsid w:val="00812C7D"/>
    <w:rsid w:val="008356FB"/>
    <w:rsid w:val="00863096"/>
    <w:rsid w:val="008F640D"/>
    <w:rsid w:val="009045B3"/>
    <w:rsid w:val="00911F7C"/>
    <w:rsid w:val="00971B3A"/>
    <w:rsid w:val="009878F9"/>
    <w:rsid w:val="0099313D"/>
    <w:rsid w:val="00A20D59"/>
    <w:rsid w:val="00AF5569"/>
    <w:rsid w:val="00B97432"/>
    <w:rsid w:val="00C770DE"/>
    <w:rsid w:val="00CD30FB"/>
    <w:rsid w:val="00CE7C61"/>
    <w:rsid w:val="00D25912"/>
    <w:rsid w:val="00D53093"/>
    <w:rsid w:val="00DA476E"/>
    <w:rsid w:val="00DC1703"/>
    <w:rsid w:val="00E453AF"/>
    <w:rsid w:val="00E856B7"/>
    <w:rsid w:val="00ED1EB8"/>
    <w:rsid w:val="00F41BFA"/>
    <w:rsid w:val="00F854DF"/>
    <w:rsid w:val="00F9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2CAD"/>
  <w15:chartTrackingRefBased/>
  <w15:docId w15:val="{8C3A342D-3156-4826-927E-20CE6689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0FB"/>
    <w:rPr>
      <w:rFonts w:ascii="Segoe UI" w:hAnsi="Segoe UI" w:cs="Segoe UI"/>
      <w:sz w:val="18"/>
      <w:szCs w:val="18"/>
    </w:rPr>
  </w:style>
  <w:style w:type="paragraph" w:styleId="ListParagraph">
    <w:name w:val="List Paragraph"/>
    <w:basedOn w:val="Normal"/>
    <w:uiPriority w:val="34"/>
    <w:qFormat/>
    <w:rsid w:val="0070596C"/>
    <w:pPr>
      <w:ind w:left="720"/>
      <w:contextualSpacing/>
    </w:pPr>
  </w:style>
  <w:style w:type="table" w:customStyle="1" w:styleId="TableGrid">
    <w:name w:val="TableGrid"/>
    <w:rsid w:val="00382B5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99ECC-C882-4864-B0FD-7C47160F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Arthur Parker</cp:lastModifiedBy>
  <cp:revision>32</cp:revision>
  <cp:lastPrinted>2019-11-26T18:29:00Z</cp:lastPrinted>
  <dcterms:created xsi:type="dcterms:W3CDTF">2019-06-06T16:05:00Z</dcterms:created>
  <dcterms:modified xsi:type="dcterms:W3CDTF">2019-11-26T18:33:00Z</dcterms:modified>
</cp:coreProperties>
</file>