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Supporting People with Non-Apparent Disabilities</w:t>
      </w:r>
    </w:p>
    <w:p>
      <w:pPr>
        <w:pStyle w:val="Subtitle"/>
      </w:pPr>
      <w:r>
        <w:t>A student handout for Graduate Studies, Translational and Molecular Medicine (TMM), and Ophthalmic Medical Technology (OMT)</w:t>
      </w:r>
    </w:p>
    <w:p>
      <w:r>
        <w:rPr>
          <w:rFonts w:ascii="Aptos" w:hAnsi="Aptos"/>
          <w:b/>
          <w:color w:val="1756A9"/>
          <w:sz w:val="21"/>
        </w:rPr>
        <w:t>Presented by Change Coalition ambassadors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3EBF6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7B2296"/>
                <w:sz w:val="25"/>
              </w:rPr>
              <w:t>Not every disability, condition, or chronic illness can be seen.</w:t>
            </w:r>
          </w:p>
        </w:tc>
      </w:tr>
    </w:tbl>
    <w:p>
      <w:pPr>
        <w:spacing w:after="0"/>
      </w:pPr>
    </w:p>
    <w:p>
      <w:pPr>
        <w:pStyle w:val="Heading1"/>
      </w:pPr>
      <w:r>
        <w:t>Recognition begins with listening</w:t>
      </w:r>
    </w:p>
    <w:p>
      <w:r>
        <w:t>The Hidden Disabilities Sunflower helps make invisible access needs recognizable without requiring someone to disclose a diagnosis. This guide explains what non-apparent disabilities are, what the Sunflower means, and how students can help create more accessible classrooms, laboratories, research teams, and clinical learning environments.</w:t>
      </w:r>
    </w:p>
    <w:p>
      <w:pPr>
        <w:pStyle w:val="Heading1"/>
      </w:pPr>
      <w:r>
        <w:t>1. Disability does not have a “look”</w:t>
      </w:r>
    </w:p>
    <w:p>
      <w:r>
        <w:t>A person may appear healthy while managing significant barriers involving:</w:t>
      </w:r>
    </w:p>
    <w:p>
      <w:pPr>
        <w:pStyle w:val="ListBullet"/>
      </w:pPr>
      <w:r>
        <w:t>Pain, fatigue, stamina, or mobility</w:t>
      </w:r>
    </w:p>
    <w:p>
      <w:pPr>
        <w:pStyle w:val="ListBullet"/>
      </w:pPr>
      <w:r>
        <w:t>Memory, concentration, or information processing</w:t>
      </w:r>
    </w:p>
    <w:p>
      <w:pPr>
        <w:pStyle w:val="ListBullet"/>
      </w:pPr>
      <w:r>
        <w:t>Communication, hearing, or vision</w:t>
      </w:r>
    </w:p>
    <w:p>
      <w:pPr>
        <w:pStyle w:val="ListBullet"/>
      </w:pPr>
      <w:r>
        <w:t>Sensory overload or emotional regulation</w:t>
      </w:r>
    </w:p>
    <w:p>
      <w:pPr>
        <w:pStyle w:val="ListBullet"/>
      </w:pPr>
      <w:r>
        <w:t>Medication effects or fluctuating symptoms</w:t>
      </w:r>
    </w:p>
    <w:p>
      <w:r>
        <w:t>Non-apparent disabilities can be temporary, situational, or permanent. Some people experience both visible and non-apparent disabilities.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AF2FB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1756A9"/>
                <w:sz w:val="25"/>
              </w:rPr>
              <w:t>The Hidden Disabilities Sunflower reports that one in six people globally lives with a disability - approximately 1.3 billion people.</w:t>
            </w:r>
          </w:p>
        </w:tc>
      </w:tr>
    </w:tbl>
    <w:p>
      <w:pPr>
        <w:spacing w:after="0"/>
      </w:pPr>
    </w:p>
    <w:p>
      <w:pPr>
        <w:pStyle w:val="Heading1"/>
      </w:pPr>
      <w:r>
        <w:t>2. The barrier may be the environment</w:t>
      </w:r>
    </w:p>
    <w:p>
      <w:r>
        <w:t>The same person may participate differently depending on the environment and the demands placed on them. In graduate and professional studies, barriers may include:</w:t>
      </w:r>
    </w:p>
    <w:p>
      <w:pPr>
        <w:pStyle w:val="ListBullet"/>
      </w:pPr>
      <w:r>
        <w:t>Bright lighting, noise, crowded laboratories, or busy clinical settings</w:t>
      </w:r>
    </w:p>
    <w:p>
      <w:pPr>
        <w:pStyle w:val="ListBullet"/>
      </w:pPr>
      <w:r>
        <w:t>Long seminars, unpredictable schedules, or limited opportunities for breaks</w:t>
      </w:r>
    </w:p>
    <w:p>
      <w:pPr>
        <w:pStyle w:val="ListBullet"/>
      </w:pPr>
      <w:r>
        <w:t>Dense verbal instructions without written follow-up</w:t>
      </w:r>
    </w:p>
    <w:p>
      <w:pPr>
        <w:pStyle w:val="ListBullet"/>
      </w:pPr>
      <w:r>
        <w:t>Pressure to respond quickly or disclose private medical information</w:t>
      </w:r>
    </w:p>
    <w:p>
      <w:pPr>
        <w:pStyle w:val="ListBullet"/>
      </w:pPr>
      <w:r>
        <w:t>Assumptions that attendance, eye contact, speech, or energy always reflect ability or commitment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3EBF6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7B2296"/>
                <w:sz w:val="25"/>
              </w:rPr>
              <w:t>Ask: “What might help you participate fully?”</w:t>
            </w:r>
          </w:p>
        </w:tc>
      </w:tr>
    </w:tbl>
    <w:p>
      <w:pPr>
        <w:spacing w:after="0"/>
      </w:pPr>
    </w:p>
    <w:p>
      <w:pPr>
        <w:pStyle w:val="Heading1"/>
      </w:pPr>
      <w:r>
        <w:t>3. What the Hidden Disabilities Sunflower means</w:t>
      </w:r>
    </w:p>
    <w:p>
      <w:r>
        <w:t>The Hidden Disabilities Sunflower is a voluntary and discreet symbol. It indicates that a person has a disability, condition, or chronic illness that may not be immediately apparent - and that they may need:</w:t>
      </w:r>
    </w:p>
    <w:p>
      <w:pPr>
        <w:pStyle w:val="ListBullet"/>
      </w:pPr>
      <w:r>
        <w:t>More time</w:t>
      </w:r>
    </w:p>
    <w:p>
      <w:pPr>
        <w:pStyle w:val="ListBullet"/>
      </w:pPr>
      <w:r>
        <w:t>Understanding and patience</w:t>
      </w:r>
    </w:p>
    <w:p>
      <w:pPr>
        <w:pStyle w:val="ListBullet"/>
      </w:pPr>
      <w:r>
        <w:t>Clearer communication</w:t>
      </w:r>
    </w:p>
    <w:p>
      <w:pPr>
        <w:pStyle w:val="ListBullet"/>
      </w:pPr>
      <w:r>
        <w:t>Practical assistance</w:t>
      </w:r>
    </w:p>
    <w:p>
      <w:pPr>
        <w:pStyle w:val="ListBullet"/>
      </w:pPr>
      <w:r>
        <w:t>A quieter or safer space</w:t>
      </w:r>
    </w:p>
    <w:p>
      <w:r>
        <w:t>The Sunflower gives the wearer a way to signal a possible access need without repeatedly explaining personal information.</w:t>
      </w:r>
    </w:p>
    <w:p>
      <w:pPr>
        <w:pStyle w:val="Heading1"/>
      </w:pPr>
      <w:r>
        <w:t>4. What the Sunflower does not mean</w:t>
      </w:r>
    </w:p>
    <w:p>
      <w:r>
        <w:t>The Sunflower:</w:t>
      </w:r>
    </w:p>
    <w:p>
      <w:pPr>
        <w:pStyle w:val="ListBullet"/>
      </w:pPr>
      <w:r>
        <w:t>Does not disclose a diagnosis</w:t>
      </w:r>
    </w:p>
    <w:p>
      <w:pPr>
        <w:pStyle w:val="ListBullet"/>
      </w:pPr>
      <w:r>
        <w:t>Does not give permission to ask for one</w:t>
      </w:r>
    </w:p>
    <w:p>
      <w:pPr>
        <w:pStyle w:val="ListBullet"/>
      </w:pPr>
      <w:r>
        <w:t>Is not a medical identification card</w:t>
      </w:r>
    </w:p>
    <w:p>
      <w:pPr>
        <w:pStyle w:val="ListBullet"/>
      </w:pPr>
      <w:r>
        <w:t>Is not proof of disability</w:t>
      </w:r>
    </w:p>
    <w:p>
      <w:pPr>
        <w:pStyle w:val="ListBullet"/>
      </w:pPr>
      <w:r>
        <w:t>Is not a request for preferential treatment</w:t>
      </w:r>
    </w:p>
    <w:p>
      <w:pPr>
        <w:pStyle w:val="ListBullet"/>
      </w:pPr>
      <w:r>
        <w:t>Does not mean that help is always required</w:t>
      </w:r>
    </w:p>
    <w:p>
      <w:r>
        <w:t>The wearer controls what they disclose and may accept or decline assistance. The Sunflower complements accessible practices; it does not replace them.</w:t>
      </w:r>
    </w:p>
    <w:p>
      <w:pPr>
        <w:pStyle w:val="Heading1"/>
      </w:pPr>
      <w:r>
        <w:t>5. Five respectful response steps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7560"/>
      </w:tblGrid>
      <w:tr>
        <w:trPr>
          <w:tblHeader w:val="1"/>
        </w:trPr>
        <w:tc>
          <w:tcPr>
            <w:tcW w:type="dxa" w:w="4680"/>
            <w:shd w:fill="7B2296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rFonts w:ascii="Aptos" w:hAnsi="Aptos"/>
                <w:b/>
                <w:color w:val="FFFFFF"/>
                <w:sz w:val="21"/>
              </w:rPr>
              <w:t>Step</w:t>
            </w:r>
          </w:p>
        </w:tc>
        <w:tc>
          <w:tcPr>
            <w:tcW w:type="dxa" w:w="4680"/>
            <w:shd w:fill="7B2296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rFonts w:ascii="Aptos" w:hAnsi="Aptos"/>
                <w:b/>
                <w:color w:val="FFFFFF"/>
                <w:sz w:val="21"/>
              </w:rPr>
              <w:t>What it looks like</w:t>
            </w:r>
          </w:p>
        </w:tc>
      </w:tr>
      <w:tr>
        <w:tc>
          <w:tcPr>
            <w:tcW w:type="dxa" w:w="1800"/>
            <w:tcMar>
              <w:top w:w="120" w:type="dxa"/>
              <w:start w:w="150" w:type="dxa"/>
              <w:bottom w:w="120" w:type="dxa"/>
              <w:end w:w="150" w:type="dxa"/>
            </w:tcMar>
            <w:vAlign w:val="center"/>
            <w:shd w:fill="F3EBF6"/>
          </w:tcPr>
          <w:p>
            <w:r>
              <w:rPr>
                <w:rFonts w:ascii="Aptos" w:hAnsi="Aptos"/>
                <w:b/>
                <w:color w:val="7B2296"/>
              </w:rPr>
              <w:t>RECOGNIZE</w:t>
            </w:r>
          </w:p>
        </w:tc>
        <w:tc>
          <w:tcPr>
            <w:tcW w:type="dxa" w:w="7560"/>
            <w:tcMar>
              <w:top w:w="120" w:type="dxa"/>
              <w:start w:w="150" w:type="dxa"/>
              <w:bottom w:w="120" w:type="dxa"/>
              <w:end w:w="150" w:type="dxa"/>
            </w:tcMar>
            <w:vAlign w:val="center"/>
          </w:tcPr>
          <w:p>
            <w:r>
              <w:t>Notice the Sunflower and remember that an access need may not be visible.</w:t>
            </w:r>
          </w:p>
        </w:tc>
      </w:tr>
      <w:tr>
        <w:tc>
          <w:tcPr>
            <w:tcW w:type="dxa" w:w="1800"/>
            <w:tcMar>
              <w:top w:w="120" w:type="dxa"/>
              <w:start w:w="150" w:type="dxa"/>
              <w:bottom w:w="120" w:type="dxa"/>
              <w:end w:w="150" w:type="dxa"/>
            </w:tcMar>
            <w:vAlign w:val="center"/>
            <w:shd w:fill="F3EBF6"/>
          </w:tcPr>
          <w:p>
            <w:r>
              <w:rPr>
                <w:rFonts w:ascii="Aptos" w:hAnsi="Aptos"/>
                <w:b/>
                <w:color w:val="7B2296"/>
              </w:rPr>
              <w:t>LISTEN</w:t>
            </w:r>
          </w:p>
        </w:tc>
        <w:tc>
          <w:tcPr>
            <w:tcW w:type="dxa" w:w="7560"/>
            <w:tcMar>
              <w:top w:w="120" w:type="dxa"/>
              <w:start w:w="150" w:type="dxa"/>
              <w:bottom w:w="120" w:type="dxa"/>
              <w:end w:w="150" w:type="dxa"/>
            </w:tcMar>
            <w:vAlign w:val="center"/>
          </w:tcPr>
          <w:p>
            <w:r>
              <w:t>Give the person your attention and enough time to communicate.</w:t>
            </w:r>
          </w:p>
        </w:tc>
      </w:tr>
      <w:tr>
        <w:tc>
          <w:tcPr>
            <w:tcW w:type="dxa" w:w="1800"/>
            <w:tcMar>
              <w:top w:w="120" w:type="dxa"/>
              <w:start w:w="150" w:type="dxa"/>
              <w:bottom w:w="120" w:type="dxa"/>
              <w:end w:w="150" w:type="dxa"/>
            </w:tcMar>
            <w:vAlign w:val="center"/>
            <w:shd w:fill="F3EBF6"/>
          </w:tcPr>
          <w:p>
            <w:r>
              <w:rPr>
                <w:rFonts w:ascii="Aptos" w:hAnsi="Aptos"/>
                <w:b/>
                <w:color w:val="7B2296"/>
              </w:rPr>
              <w:t>ASK</w:t>
            </w:r>
          </w:p>
        </w:tc>
        <w:tc>
          <w:tcPr>
            <w:tcW w:type="dxa" w:w="7560"/>
            <w:tcMar>
              <w:top w:w="120" w:type="dxa"/>
              <w:start w:w="150" w:type="dxa"/>
              <w:bottom w:w="120" w:type="dxa"/>
              <w:end w:w="150" w:type="dxa"/>
            </w:tcMar>
            <w:vAlign w:val="center"/>
          </w:tcPr>
          <w:p>
            <w:r>
              <w:t>“Would any support or adjustment be helpful?”</w:t>
            </w:r>
          </w:p>
        </w:tc>
      </w:tr>
      <w:tr>
        <w:tc>
          <w:tcPr>
            <w:tcW w:type="dxa" w:w="1800"/>
            <w:tcMar>
              <w:top w:w="120" w:type="dxa"/>
              <w:start w:w="150" w:type="dxa"/>
              <w:bottom w:w="120" w:type="dxa"/>
              <w:end w:w="150" w:type="dxa"/>
            </w:tcMar>
            <w:vAlign w:val="center"/>
            <w:shd w:fill="F3EBF6"/>
          </w:tcPr>
          <w:p>
            <w:r>
              <w:rPr>
                <w:rFonts w:ascii="Aptos" w:hAnsi="Aptos"/>
                <w:b/>
                <w:color w:val="7B2296"/>
              </w:rPr>
              <w:t>ADAPT</w:t>
            </w:r>
          </w:p>
        </w:tc>
        <w:tc>
          <w:tcPr>
            <w:tcW w:type="dxa" w:w="7560"/>
            <w:tcMar>
              <w:top w:w="120" w:type="dxa"/>
              <w:start w:w="150" w:type="dxa"/>
              <w:bottom w:w="120" w:type="dxa"/>
              <w:end w:w="150" w:type="dxa"/>
            </w:tcMar>
            <w:vAlign w:val="center"/>
          </w:tcPr>
          <w:p>
            <w:r>
              <w:t>Make the reasonable change identified and explain what is possible.</w:t>
            </w:r>
          </w:p>
        </w:tc>
      </w:tr>
      <w:tr>
        <w:tc>
          <w:tcPr>
            <w:tcW w:type="dxa" w:w="1800"/>
            <w:tcMar>
              <w:top w:w="120" w:type="dxa"/>
              <w:start w:w="150" w:type="dxa"/>
              <w:bottom w:w="120" w:type="dxa"/>
              <w:end w:w="150" w:type="dxa"/>
            </w:tcMar>
            <w:vAlign w:val="center"/>
            <w:shd w:fill="F3EBF6"/>
          </w:tcPr>
          <w:p>
            <w:r>
              <w:rPr>
                <w:rFonts w:ascii="Aptos" w:hAnsi="Aptos"/>
                <w:b/>
                <w:color w:val="7B2296"/>
              </w:rPr>
              <w:t>RESPECT</w:t>
            </w:r>
          </w:p>
        </w:tc>
        <w:tc>
          <w:tcPr>
            <w:tcW w:type="dxa" w:w="7560"/>
            <w:tcMar>
              <w:top w:w="120" w:type="dxa"/>
              <w:start w:w="150" w:type="dxa"/>
              <w:bottom w:w="120" w:type="dxa"/>
              <w:end w:w="150" w:type="dxa"/>
            </w:tcMar>
            <w:vAlign w:val="center"/>
          </w:tcPr>
          <w:p>
            <w:r>
              <w:t>Protect privacy, speak directly to the person, and accept “no, thank you.”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AF2FB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1756A9"/>
                <w:sz w:val="25"/>
              </w:rPr>
              <w:t>Support should be offered - not imposed.</w:t>
            </w:r>
          </w:p>
        </w:tc>
      </w:tr>
    </w:tbl>
    <w:p>
      <w:pPr>
        <w:spacing w:after="0"/>
      </w:pPr>
    </w:p>
    <w:p>
      <w:pPr>
        <w:pStyle w:val="Heading1"/>
      </w:pPr>
      <w:r>
        <w:t>6. Small adjustments can remove large barriers</w:t>
      </w:r>
    </w:p>
    <w:p>
      <w:r>
        <w:t>Helpful adjustments may include:</w:t>
      </w:r>
    </w:p>
    <w:p>
      <w:pPr>
        <w:pStyle w:val="ListBullet"/>
      </w:pPr>
      <w:r>
        <w:t>Clear language and one instruction at a time</w:t>
      </w:r>
    </w:p>
    <w:p>
      <w:pPr>
        <w:pStyle w:val="ListBullet"/>
      </w:pPr>
      <w:r>
        <w:t>Written instructions, deadlines, or next steps</w:t>
      </w:r>
    </w:p>
    <w:p>
      <w:pPr>
        <w:pStyle w:val="ListBullet"/>
      </w:pPr>
      <w:r>
        <w:t>Additional processing or response time</w:t>
      </w:r>
    </w:p>
    <w:p>
      <w:pPr>
        <w:pStyle w:val="ListBullet"/>
      </w:pPr>
      <w:r>
        <w:t>A quieter workspace, reduced lighting, or a brief break</w:t>
      </w:r>
    </w:p>
    <w:p>
      <w:pPr>
        <w:pStyle w:val="ListBullet"/>
      </w:pPr>
      <w:r>
        <w:t>Flexibility with positioning, movement, scheduling, or participation</w:t>
      </w:r>
    </w:p>
    <w:p>
      <w:pPr>
        <w:pStyle w:val="ListBullet"/>
      </w:pPr>
      <w:r>
        <w:t>Permission to use a support person or communication aid</w:t>
      </w:r>
    </w:p>
    <w:p>
      <w:pPr>
        <w:pStyle w:val="ListBullet"/>
      </w:pPr>
      <w:r>
        <w:t>An alternative to telephone communication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3EBF6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7B2296"/>
                <w:sz w:val="25"/>
              </w:rPr>
              <w:t>The diagnosis does not determine the accommodation. Ask the individual what works.</w:t>
            </w:r>
          </w:p>
        </w:tc>
      </w:tr>
    </w:tbl>
    <w:p>
      <w:pPr>
        <w:spacing w:after="0"/>
      </w:pPr>
    </w:p>
    <w:p>
      <w:pPr>
        <w:pStyle w:val="Heading1"/>
      </w:pPr>
      <w:r>
        <w:t>7. Inclusive research, laboratory, and clinical learning</w:t>
      </w:r>
    </w:p>
    <w:p>
      <w:pPr>
        <w:pStyle w:val="Heading2"/>
      </w:pPr>
      <w:r>
        <w:t>In research and laboratories</w:t>
      </w:r>
    </w:p>
    <w:p>
      <w:pPr>
        <w:pStyle w:val="ListBullet"/>
      </w:pPr>
      <w:r>
        <w:t>Provide important protocols and safety instructions in writing.</w:t>
      </w:r>
    </w:p>
    <w:p>
      <w:pPr>
        <w:pStyle w:val="ListBullet"/>
      </w:pPr>
      <w:r>
        <w:t>Build in clear check-ins instead of waiting for a crisis.</w:t>
      </w:r>
    </w:p>
    <w:p>
      <w:pPr>
        <w:pStyle w:val="ListBullet"/>
      </w:pPr>
      <w:r>
        <w:t>Discuss safe flexibility around breaks, positioning, noise, or task sequencing.</w:t>
      </w:r>
    </w:p>
    <w:p>
      <w:pPr>
        <w:pStyle w:val="ListBullet"/>
      </w:pPr>
      <w:r>
        <w:t>Do not interpret fluctuating capacity as a lack of commitment.</w:t>
      </w:r>
    </w:p>
    <w:p>
      <w:pPr>
        <w:pStyle w:val="Heading2"/>
      </w:pPr>
      <w:r>
        <w:t>In classrooms and clinical learning</w:t>
      </w:r>
    </w:p>
    <w:p>
      <w:pPr>
        <w:pStyle w:val="ListBullet"/>
      </w:pPr>
      <w:r>
        <w:t>Allow time to process questions and instructions.</w:t>
      </w:r>
    </w:p>
    <w:p>
      <w:pPr>
        <w:pStyle w:val="ListBullet"/>
      </w:pPr>
      <w:r>
        <w:t>Speak directly to the student, patient, or participant.</w:t>
      </w:r>
    </w:p>
    <w:p>
      <w:pPr>
        <w:pStyle w:val="ListBullet"/>
      </w:pPr>
      <w:r>
        <w:t>Confirm understanding without speaking down to anyone.</w:t>
      </w:r>
    </w:p>
    <w:p>
      <w:pPr>
        <w:pStyle w:val="ListBullet"/>
      </w:pPr>
      <w:r>
        <w:t>Ask permission before touching a person, mobility equipment, service animal, or belongings.</w:t>
      </w:r>
    </w:p>
    <w:p>
      <w:pPr>
        <w:pStyle w:val="Heading1"/>
      </w:pPr>
      <w:r>
        <w:t>8. Language can build - or weaken - trust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1"/>
        </w:trPr>
        <w:tc>
          <w:tcPr>
            <w:tcW w:type="dxa" w:w="4680"/>
            <w:shd w:fill="7B2296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rFonts w:ascii="Aptos" w:hAnsi="Aptos"/>
                <w:b/>
                <w:color w:val="FFFFFF"/>
                <w:sz w:val="21"/>
              </w:rPr>
              <w:t>Avoid</w:t>
            </w:r>
          </w:p>
        </w:tc>
        <w:tc>
          <w:tcPr>
            <w:tcW w:type="dxa" w:w="4680"/>
            <w:shd w:fill="1756A9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rFonts w:ascii="Aptos" w:hAnsi="Aptos"/>
                <w:b/>
                <w:color w:val="FFFFFF"/>
                <w:sz w:val="21"/>
              </w:rPr>
              <w:t>Try instead</w:t>
            </w:r>
          </w:p>
        </w:tc>
      </w:tr>
      <w:tr>
        <w:tc>
          <w:tcPr>
            <w:tcW w:type="dxa" w:w="4680"/>
            <w:tcMar>
              <w:top w:w="120" w:type="dxa"/>
              <w:start w:w="150" w:type="dxa"/>
              <w:bottom w:w="120" w:type="dxa"/>
              <w:end w:w="150" w:type="dxa"/>
            </w:tcMar>
            <w:shd w:fill="F3EBF6"/>
          </w:tcPr>
          <w:p>
            <w:r>
              <w:t>“You don’t look disabled.”</w:t>
            </w:r>
          </w:p>
        </w:tc>
        <w:tc>
          <w:tcPr>
            <w:tcW w:type="dxa" w:w="4680"/>
            <w:tcMar>
              <w:top w:w="120" w:type="dxa"/>
              <w:start w:w="150" w:type="dxa"/>
              <w:bottom w:w="120" w:type="dxa"/>
              <w:end w:w="150" w:type="dxa"/>
            </w:tcMar>
            <w:shd w:fill="EAF2FB"/>
          </w:tcPr>
          <w:p>
            <w:r>
              <w:t>“Thank you for telling me what you need.”</w:t>
            </w:r>
          </w:p>
        </w:tc>
      </w:tr>
      <w:tr>
        <w:tc>
          <w:tcPr>
            <w:tcW w:type="dxa" w:w="4680"/>
            <w:tcMar>
              <w:top w:w="120" w:type="dxa"/>
              <w:start w:w="150" w:type="dxa"/>
              <w:bottom w:w="120" w:type="dxa"/>
              <w:end w:w="150" w:type="dxa"/>
            </w:tcMar>
            <w:shd w:fill="F3EBF6"/>
          </w:tcPr>
          <w:p>
            <w:r>
              <w:t>“But you managed it last time.”</w:t>
            </w:r>
          </w:p>
        </w:tc>
        <w:tc>
          <w:tcPr>
            <w:tcW w:type="dxa" w:w="4680"/>
            <w:tcMar>
              <w:top w:w="120" w:type="dxa"/>
              <w:start w:w="150" w:type="dxa"/>
              <w:bottom w:w="120" w:type="dxa"/>
              <w:end w:w="150" w:type="dxa"/>
            </w:tcMar>
            <w:shd w:fill="EAF2FB"/>
          </w:tcPr>
          <w:p>
            <w:r>
              <w:t>“Has anything changed today?”</w:t>
            </w:r>
          </w:p>
        </w:tc>
      </w:tr>
      <w:tr>
        <w:tc>
          <w:tcPr>
            <w:tcW w:type="dxa" w:w="4680"/>
            <w:tcMar>
              <w:top w:w="120" w:type="dxa"/>
              <w:start w:w="150" w:type="dxa"/>
              <w:bottom w:w="120" w:type="dxa"/>
              <w:end w:w="150" w:type="dxa"/>
            </w:tcMar>
            <w:shd w:fill="F3EBF6"/>
          </w:tcPr>
          <w:p>
            <w:r>
              <w:t>“What is wrong with you?”</w:t>
            </w:r>
          </w:p>
        </w:tc>
        <w:tc>
          <w:tcPr>
            <w:tcW w:type="dxa" w:w="4680"/>
            <w:tcMar>
              <w:top w:w="120" w:type="dxa"/>
              <w:start w:w="150" w:type="dxa"/>
              <w:bottom w:w="120" w:type="dxa"/>
              <w:end w:w="150" w:type="dxa"/>
            </w:tcMar>
            <w:shd w:fill="EAF2FB"/>
          </w:tcPr>
          <w:p>
            <w:r>
              <w:t>“Would you like to share any access needs?”</w:t>
            </w:r>
          </w:p>
        </w:tc>
      </w:tr>
      <w:tr>
        <w:tc>
          <w:tcPr>
            <w:tcW w:type="dxa" w:w="4680"/>
            <w:tcMar>
              <w:top w:w="120" w:type="dxa"/>
              <w:start w:w="150" w:type="dxa"/>
              <w:bottom w:w="120" w:type="dxa"/>
              <w:end w:w="150" w:type="dxa"/>
            </w:tcMar>
            <w:shd w:fill="F3EBF6"/>
          </w:tcPr>
          <w:p>
            <w:r>
              <w:t>“Calm down.”</w:t>
            </w:r>
          </w:p>
        </w:tc>
        <w:tc>
          <w:tcPr>
            <w:tcW w:type="dxa" w:w="4680"/>
            <w:tcMar>
              <w:top w:w="120" w:type="dxa"/>
              <w:start w:w="150" w:type="dxa"/>
              <w:bottom w:w="120" w:type="dxa"/>
              <w:end w:w="150" w:type="dxa"/>
            </w:tcMar>
            <w:shd w:fill="EAF2FB"/>
          </w:tcPr>
          <w:p>
            <w:r>
              <w:t>“Would more time, space, or a quieter area help?”</w:t>
            </w:r>
          </w:p>
        </w:tc>
      </w:tr>
    </w:tbl>
    <w:p>
      <w:pPr>
        <w:pStyle w:val="IntenseQuote"/>
      </w:pPr>
      <w:r>
        <w:t>Respectful curiosity focuses on access - not diagnosis.</w:t>
      </w:r>
    </w:p>
    <w:p>
      <w:pPr>
        <w:pStyle w:val="Heading1"/>
      </w:pPr>
      <w:r>
        <w:t>9. Consider this situation</w:t>
      </w:r>
    </w:p>
    <w:p>
      <w:r>
        <w:t>A student wearing the Sunflower becomes quiet and stops responding during a crowded laboratory orientation.</w:t>
      </w:r>
    </w:p>
    <w:p>
      <w:r>
        <w:rPr>
          <w:rFonts w:ascii="Aptos" w:hAnsi="Aptos"/>
          <w:b/>
          <w:color w:val="7B2296"/>
        </w:rPr>
        <w:t xml:space="preserve">An unhelpful assumption: </w:t>
      </w:r>
      <w:r>
        <w:t>“They are disengaged, unprepared, or not interested.”</w:t>
      </w:r>
    </w:p>
    <w:p>
      <w:r>
        <w:t>A helpful response may include:</w:t>
      </w:r>
    </w:p>
    <w:p>
      <w:pPr>
        <w:pStyle w:val="ListBullet"/>
      </w:pPr>
      <w:r>
        <w:t>Reduce the number of questions.</w:t>
      </w:r>
    </w:p>
    <w:p>
      <w:pPr>
        <w:pStyle w:val="ListBullet"/>
      </w:pPr>
      <w:r>
        <w:t>Offer more processing time.</w:t>
      </w:r>
    </w:p>
    <w:p>
      <w:pPr>
        <w:pStyle w:val="ListBullet"/>
      </w:pPr>
      <w:r>
        <w:t>Ask whether a quieter location would help.</w:t>
      </w:r>
    </w:p>
    <w:p>
      <w:pPr>
        <w:pStyle w:val="ListBullet"/>
      </w:pPr>
      <w:r>
        <w:t>Provide essential instructions in writing.</w:t>
      </w:r>
    </w:p>
    <w:p>
      <w:pPr>
        <w:pStyle w:val="ListBullet"/>
      </w:pPr>
      <w:r>
        <w:t>Ask how the student prefers to communicate.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AF2FB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1756A9"/>
                <w:sz w:val="25"/>
              </w:rPr>
              <w:t>Question for the group: What other barriers or supports might be relevant?</w:t>
            </w:r>
          </w:p>
        </w:tc>
      </w:tr>
    </w:tbl>
    <w:p>
      <w:pPr>
        <w:spacing w:after="0"/>
      </w:pPr>
    </w:p>
    <w:p>
      <w:pPr>
        <w:pStyle w:val="Heading1"/>
      </w:pPr>
      <w:r>
        <w:t>10. Inclusion begins with listening</w:t>
      </w:r>
    </w:p>
    <w:p>
      <w:r>
        <w:t>You may not always see another person’s disability, symptoms, or barriers - but you can ensure that the person feels seen.</w:t>
      </w:r>
    </w:p>
    <w:p>
      <w:r>
        <w:t>Remember:</w:t>
      </w:r>
    </w:p>
    <w:p>
      <w:pPr>
        <w:pStyle w:val="ListBullet"/>
      </w:pPr>
      <w:r>
        <w:t>Believe lived experience.</w:t>
      </w:r>
    </w:p>
    <w:p>
      <w:pPr>
        <w:pStyle w:val="ListBullet"/>
      </w:pPr>
      <w:r>
        <w:t>Ask rather than assume.</w:t>
      </w:r>
    </w:p>
    <w:p>
      <w:pPr>
        <w:pStyle w:val="ListBullet"/>
      </w:pPr>
      <w:r>
        <w:t>Offer support without demanding disclosure.</w:t>
      </w:r>
    </w:p>
    <w:p>
      <w:pPr>
        <w:pStyle w:val="ListBullet"/>
      </w:pPr>
      <w:r>
        <w:t>Adapt when you can.</w:t>
      </w:r>
    </w:p>
    <w:p>
      <w:pPr>
        <w:pStyle w:val="ListBullet"/>
      </w:pPr>
      <w:r>
        <w:t>Protect dignity, choice, and privacy.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3EBF6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7B2296"/>
                <w:sz w:val="25"/>
              </w:rPr>
              <w:t>One question to carry forward: “What is one thing I can do to make this environment more accessible?”</w:t>
            </w:r>
          </w:p>
        </w:tc>
      </w:tr>
    </w:tbl>
    <w:p>
      <w:pPr>
        <w:spacing w:after="0"/>
      </w:pPr>
    </w:p>
    <w:p>
      <w:pPr>
        <w:pStyle w:val="Heading1"/>
      </w:pPr>
      <w:r>
        <w:t>Resources</w:t>
      </w:r>
    </w:p>
    <w:p>
      <w:r>
        <w:rPr>
          <w:rFonts w:ascii="Aptos" w:hAnsi="Aptos"/>
          <w:b/>
          <w:color w:val="1756A9"/>
        </w:rPr>
        <w:t xml:space="preserve">Change Coalition: </w:t>
      </w:r>
      <w:r>
        <w:t>https://changecoalition.ca/</w:t>
      </w:r>
    </w:p>
    <w:p>
      <w:r>
        <w:rPr>
          <w:rFonts w:ascii="Aptos" w:hAnsi="Aptos"/>
          <w:b/>
          <w:color w:val="1756A9"/>
        </w:rPr>
        <w:t xml:space="preserve">Hidden Disabilities Sunflower Canada: </w:t>
      </w:r>
      <w:r>
        <w:t>https://hdsunflower.com/ca/</w:t>
      </w:r>
    </w:p>
    <w:p>
      <w:r>
        <w:rPr>
          <w:rFonts w:ascii="Aptos" w:hAnsi="Aptos"/>
          <w:b/>
          <w:color w:val="1756A9"/>
        </w:rPr>
        <w:t xml:space="preserve">What is a hidden disability?: </w:t>
      </w:r>
      <w:r>
        <w:t>https://hdsunflower.com/ca/insights/post/what-is-a-hidden-disability</w:t>
      </w:r>
    </w:p>
    <w:p>
      <w:r>
        <w:rPr>
          <w:rFonts w:ascii="Aptos" w:hAnsi="Aptos"/>
          <w:b/>
          <w:color w:val="1756A9"/>
        </w:rPr>
        <w:t xml:space="preserve">University of Ottawa - 2026 Orientation Day: </w:t>
      </w:r>
      <w:r>
        <w:t>https://www.uottawa.ca/en/events-all/2026-orientation-day-graduate-studies-omt-tmm-programs</w:t>
      </w:r>
    </w:p>
    <w:sectPr w:rsidR="00FC693F" w:rsidRPr="0006063C" w:rsidSect="00034616">
      <w:headerReference w:type="default" r:id="rId11"/>
      <w:headerReference w:type="first" r:id="rId11"/>
      <w:headerReference w:type="even" r:id="rId11"/>
      <w:footerReference w:type="default" r:id="rId12"/>
      <w:pgSz w:w="12240" w:h="15840"/>
      <w:pgMar w:top="1296" w:right="1440" w:bottom="1080" w:left="1440" w:header="259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/>
        <w:color w:val="5F6972"/>
        <w:sz w:val="16"/>
      </w:rPr>
      <w:t xml:space="preserve">CHANGE COALITION  |  SUPPORTING NON-APPARENT DISABILITIES  |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drawing>
        <wp:inline xmlns:a="http://schemas.openxmlformats.org/drawingml/2006/main" xmlns:pic="http://schemas.openxmlformats.org/drawingml/2006/picture">
          <wp:extent cx="850392" cy="566928"/>
          <wp:docPr id="1" name="Picture 1" descr="Change Coalition blue and purple butterfly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1733958-5eb0-4974-aa1d-31f43d2e87e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0392" cy="566928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drawing>
        <wp:inline xmlns:a="http://schemas.openxmlformats.org/drawingml/2006/main" xmlns:pic="http://schemas.openxmlformats.org/drawingml/2006/picture">
          <wp:extent cx="850392" cy="566928"/>
          <wp:docPr id="1" name="Picture 1" descr="Change Coalition blue and purple butterfly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1733958-5eb0-4974-aa1d-31f43d2e87e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0392" cy="566928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drawing>
        <wp:inline xmlns:a="http://schemas.openxmlformats.org/drawingml/2006/main" xmlns:pic="http://schemas.openxmlformats.org/drawingml/2006/picture">
          <wp:extent cx="850392" cy="566928"/>
          <wp:docPr id="1" name="Picture 1" descr="Change Coalition blue and purple butterfly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1733958-5eb0-4974-aa1d-31f43d2e87e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0392" cy="56692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3" w:lineRule="auto"/>
    </w:pPr>
    <w:rPr>
      <w:rFonts w:ascii="Aptos" w:hAnsi="Aptos"/>
      <w:color w:val="24334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7B229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756A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7B2296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7B229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00"/>
    </w:pPr>
    <w:rPr>
      <w:rFonts w:asciiTheme="majorHAnsi" w:eastAsiaTheme="majorEastAsia" w:hAnsiTheme="majorHAnsi" w:cstheme="majorBidi" w:ascii="Aptos Display" w:hAnsi="Aptos Display"/>
      <w:b w:val="0"/>
      <w:i/>
      <w:iCs/>
      <w:color w:val="5F6972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83" w:lineRule="auto"/>
      <w:ind w:left="540" w:hanging="271"/>
      <w:contextualSpacing/>
    </w:pPr>
    <w:rPr>
      <w:rFonts w:ascii="Aptos" w:hAnsi="Aptos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80" w:line="283" w:lineRule="auto"/>
      <w:ind w:left="900" w:hanging="271"/>
      <w:contextualSpacing/>
    </w:pPr>
    <w:rPr>
      <w:rFonts w:ascii="Aptos" w:hAnsi="Aptos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83" w:lineRule="auto"/>
      <w:ind w:left="540" w:hanging="271"/>
      <w:contextualSpacing/>
    </w:pPr>
    <w:rPr>
      <w:rFonts w:ascii="Aptos" w:hAnsi="Aptos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People with Non-Apparent Disabilities</dc:title>
  <dc:subject>Student handout for Graduate Studies, TMM, and OMT students</dc:subject>
  <dc:creator>Change Coalition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