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5ED73578"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12067A">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29FEE95D"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12067A">
        <w:t>7210039</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12067A">
        <w:t>Big Spring Terrace MHP</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2110D463"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12067A">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527957FA"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12067A">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22F75BF5"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12067A">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61D90C1" w14:textId="77777777" w:rsidR="0012067A" w:rsidRDefault="00B15A4C" w:rsidP="00EF1D3D">
            <w:pPr>
              <w:spacing w:line="360" w:lineRule="auto"/>
              <w:jc w:val="both"/>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2067A">
              <w:t>Source ID 001:Well 1</w:t>
            </w:r>
          </w:p>
          <w:p w14:paraId="27D2B1FF" w14:textId="571BC128" w:rsidR="00B15A4C" w:rsidRPr="00B15A4C" w:rsidRDefault="0012067A" w:rsidP="00EF1D3D">
            <w:pPr>
              <w:spacing w:line="360" w:lineRule="auto"/>
              <w:jc w:val="both"/>
              <w:rPr>
                <w:rFonts w:eastAsia="Times New Roman"/>
                <w:sz w:val="22"/>
              </w:rPr>
            </w:pPr>
            <w:r>
              <w:t>Source ID 002: Well 2</w:t>
            </w:r>
            <w:r w:rsidR="00B15A4C"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4EFC6F6C"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12067A">
        <w:t>Southcentral Region</w:t>
      </w:r>
      <w:r w:rsidRPr="00742196">
        <w:rPr>
          <w:rFonts w:eastAsia="Times New Roman"/>
          <w:sz w:val="22"/>
        </w:rPr>
        <w:fldChar w:fldCharType="end"/>
      </w:r>
      <w:bookmarkEnd w:id="102"/>
    </w:p>
    <w:p w14:paraId="27D2B203" w14:textId="7C4FA450"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2067A">
        <w:t>717</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2067A">
        <w:t>705-4700</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471D0E60"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772D01">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88"/>
        <w:gridCol w:w="950"/>
        <w:gridCol w:w="930"/>
        <w:gridCol w:w="1045"/>
        <w:gridCol w:w="1223"/>
        <w:gridCol w:w="757"/>
        <w:gridCol w:w="1268"/>
        <w:gridCol w:w="1086"/>
        <w:gridCol w:w="1605"/>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5D299340"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Barium</w:t>
            </w:r>
            <w:r w:rsidRPr="00B15A4C">
              <w:rPr>
                <w:rFonts w:eastAsia="Times New Roman"/>
              </w:rPr>
              <w:fldChar w:fldCharType="end"/>
            </w:r>
            <w:bookmarkEnd w:id="108"/>
          </w:p>
        </w:tc>
        <w:tc>
          <w:tcPr>
            <w:tcW w:w="470" w:type="pct"/>
            <w:vAlign w:val="center"/>
          </w:tcPr>
          <w:p w14:paraId="27D2B22A" w14:textId="4D8460DE"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w:t>
            </w:r>
            <w:r w:rsidRPr="00B15A4C">
              <w:rPr>
                <w:rFonts w:eastAsia="Times New Roman"/>
              </w:rPr>
              <w:fldChar w:fldCharType="end"/>
            </w:r>
          </w:p>
        </w:tc>
        <w:tc>
          <w:tcPr>
            <w:tcW w:w="460" w:type="pct"/>
            <w:vAlign w:val="center"/>
          </w:tcPr>
          <w:p w14:paraId="27D2B22B" w14:textId="0D9C36A2"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w:t>
            </w:r>
            <w:r w:rsidRPr="00B15A4C">
              <w:rPr>
                <w:rFonts w:eastAsia="Times New Roman"/>
              </w:rPr>
              <w:fldChar w:fldCharType="end"/>
            </w:r>
          </w:p>
        </w:tc>
        <w:tc>
          <w:tcPr>
            <w:tcW w:w="513" w:type="pct"/>
            <w:vAlign w:val="center"/>
          </w:tcPr>
          <w:p w14:paraId="27D2B22C" w14:textId="665A3BBE"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0.034</w:t>
            </w:r>
            <w:r w:rsidRPr="00B15A4C">
              <w:rPr>
                <w:rFonts w:eastAsia="Times New Roman"/>
              </w:rPr>
              <w:fldChar w:fldCharType="end"/>
            </w:r>
          </w:p>
        </w:tc>
        <w:tc>
          <w:tcPr>
            <w:tcW w:w="599" w:type="pct"/>
            <w:vAlign w:val="center"/>
          </w:tcPr>
          <w:p w14:paraId="27D2B22D" w14:textId="6ECF233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0.034</w:t>
            </w:r>
            <w:r w:rsidRPr="00B15A4C">
              <w:rPr>
                <w:rFonts w:eastAsia="Times New Roman"/>
              </w:rPr>
              <w:fldChar w:fldCharType="end"/>
            </w:r>
          </w:p>
        </w:tc>
        <w:tc>
          <w:tcPr>
            <w:tcW w:w="366" w:type="pct"/>
            <w:vAlign w:val="center"/>
          </w:tcPr>
          <w:p w14:paraId="27D2B22E" w14:textId="0C20ED5F"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ppm</w:t>
            </w:r>
            <w:r w:rsidRPr="00B15A4C">
              <w:rPr>
                <w:rFonts w:eastAsia="Times New Roman"/>
              </w:rPr>
              <w:fldChar w:fldCharType="end"/>
            </w:r>
          </w:p>
        </w:tc>
        <w:tc>
          <w:tcPr>
            <w:tcW w:w="526" w:type="pct"/>
            <w:vAlign w:val="center"/>
          </w:tcPr>
          <w:p w14:paraId="27D2B22F" w14:textId="4C477593"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08/06/2024</w:t>
            </w:r>
            <w:r w:rsidRPr="00B15A4C">
              <w:rPr>
                <w:rFonts w:eastAsia="Times New Roman"/>
              </w:rPr>
              <w:fldChar w:fldCharType="end"/>
            </w:r>
          </w:p>
        </w:tc>
        <w:tc>
          <w:tcPr>
            <w:tcW w:w="550" w:type="pct"/>
            <w:vAlign w:val="center"/>
          </w:tcPr>
          <w:p w14:paraId="27D2B230" w14:textId="18190E5E"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786" w:type="pct"/>
            <w:vAlign w:val="center"/>
          </w:tcPr>
          <w:p w14:paraId="27D2B231" w14:textId="076DFC5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 xml:space="preserve">Discharge of drilling wastes, discharge from metal refineries, erosion of natural deposits </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300C2AC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Chromium</w:t>
            </w:r>
            <w:r w:rsidRPr="00B15A4C">
              <w:rPr>
                <w:rFonts w:eastAsia="Times New Roman"/>
              </w:rPr>
              <w:fldChar w:fldCharType="end"/>
            </w:r>
          </w:p>
        </w:tc>
        <w:tc>
          <w:tcPr>
            <w:tcW w:w="470" w:type="pct"/>
            <w:vAlign w:val="center"/>
          </w:tcPr>
          <w:p w14:paraId="27D2B234" w14:textId="284CB6C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100</w:t>
            </w:r>
            <w:r w:rsidRPr="00B15A4C">
              <w:rPr>
                <w:rFonts w:eastAsia="Times New Roman"/>
              </w:rPr>
              <w:fldChar w:fldCharType="end"/>
            </w:r>
          </w:p>
        </w:tc>
        <w:tc>
          <w:tcPr>
            <w:tcW w:w="460" w:type="pct"/>
            <w:vAlign w:val="center"/>
          </w:tcPr>
          <w:p w14:paraId="27D2B235" w14:textId="003ED08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100</w:t>
            </w:r>
            <w:r w:rsidRPr="00B15A4C">
              <w:rPr>
                <w:rFonts w:eastAsia="Times New Roman"/>
              </w:rPr>
              <w:fldChar w:fldCharType="end"/>
            </w:r>
          </w:p>
        </w:tc>
        <w:tc>
          <w:tcPr>
            <w:tcW w:w="513" w:type="pct"/>
            <w:vAlign w:val="center"/>
          </w:tcPr>
          <w:p w14:paraId="27D2B236" w14:textId="2ADD7316"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2.1</w:t>
            </w:r>
            <w:r w:rsidRPr="00B15A4C">
              <w:rPr>
                <w:rFonts w:eastAsia="Times New Roman"/>
              </w:rPr>
              <w:fldChar w:fldCharType="end"/>
            </w:r>
          </w:p>
        </w:tc>
        <w:tc>
          <w:tcPr>
            <w:tcW w:w="599" w:type="pct"/>
            <w:vAlign w:val="center"/>
          </w:tcPr>
          <w:p w14:paraId="27D2B237" w14:textId="22DE9106"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2.1</w:t>
            </w:r>
            <w:r w:rsidRPr="00B15A4C">
              <w:rPr>
                <w:rFonts w:eastAsia="Times New Roman"/>
              </w:rPr>
              <w:fldChar w:fldCharType="end"/>
            </w:r>
          </w:p>
        </w:tc>
        <w:tc>
          <w:tcPr>
            <w:tcW w:w="366" w:type="pct"/>
            <w:vAlign w:val="center"/>
          </w:tcPr>
          <w:p w14:paraId="27D2B238" w14:textId="336D2E7F"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ppm</w:t>
            </w:r>
            <w:r w:rsidRPr="00B15A4C">
              <w:rPr>
                <w:rFonts w:eastAsia="Times New Roman"/>
              </w:rPr>
              <w:fldChar w:fldCharType="end"/>
            </w:r>
          </w:p>
        </w:tc>
        <w:tc>
          <w:tcPr>
            <w:tcW w:w="526" w:type="pct"/>
            <w:vAlign w:val="center"/>
          </w:tcPr>
          <w:p w14:paraId="27D2B239" w14:textId="286C4F5C"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08/06/2024</w:t>
            </w:r>
            <w:r w:rsidRPr="00B15A4C">
              <w:rPr>
                <w:rFonts w:eastAsia="Times New Roman"/>
              </w:rPr>
              <w:fldChar w:fldCharType="end"/>
            </w:r>
          </w:p>
        </w:tc>
        <w:tc>
          <w:tcPr>
            <w:tcW w:w="550" w:type="pct"/>
            <w:vAlign w:val="center"/>
          </w:tcPr>
          <w:p w14:paraId="27D2B23A" w14:textId="0C4D5A46"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786" w:type="pct"/>
            <w:vAlign w:val="center"/>
          </w:tcPr>
          <w:p w14:paraId="27D2B23B" w14:textId="5D6CB1F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Discharge from steel and pulp mills,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71D3BEA0"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Nitrate</w:t>
            </w:r>
            <w:r w:rsidRPr="00B15A4C">
              <w:rPr>
                <w:rFonts w:eastAsia="Times New Roman"/>
              </w:rPr>
              <w:fldChar w:fldCharType="end"/>
            </w:r>
          </w:p>
        </w:tc>
        <w:tc>
          <w:tcPr>
            <w:tcW w:w="470" w:type="pct"/>
            <w:vAlign w:val="center"/>
          </w:tcPr>
          <w:p w14:paraId="27D2B23E" w14:textId="0361534B"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w:t>
            </w:r>
            <w:r w:rsidRPr="00B15A4C">
              <w:rPr>
                <w:rFonts w:eastAsia="Times New Roman"/>
              </w:rPr>
              <w:fldChar w:fldCharType="end"/>
            </w:r>
          </w:p>
        </w:tc>
        <w:tc>
          <w:tcPr>
            <w:tcW w:w="460" w:type="pct"/>
            <w:vAlign w:val="center"/>
          </w:tcPr>
          <w:p w14:paraId="27D2B23F" w14:textId="236CD012"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w:t>
            </w:r>
            <w:r w:rsidRPr="00B15A4C">
              <w:rPr>
                <w:rFonts w:eastAsia="Times New Roman"/>
              </w:rPr>
              <w:fldChar w:fldCharType="end"/>
            </w:r>
          </w:p>
        </w:tc>
        <w:tc>
          <w:tcPr>
            <w:tcW w:w="513" w:type="pct"/>
            <w:vAlign w:val="center"/>
          </w:tcPr>
          <w:p w14:paraId="27D2B240" w14:textId="4F3707B9"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8.8</w:t>
            </w:r>
            <w:r w:rsidRPr="00B15A4C">
              <w:rPr>
                <w:rFonts w:eastAsia="Times New Roman"/>
              </w:rPr>
              <w:fldChar w:fldCharType="end"/>
            </w:r>
          </w:p>
        </w:tc>
        <w:tc>
          <w:tcPr>
            <w:tcW w:w="599" w:type="pct"/>
            <w:vAlign w:val="center"/>
          </w:tcPr>
          <w:p w14:paraId="27D2B241" w14:textId="3D2E210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8.4-8.8</w:t>
            </w:r>
            <w:r w:rsidRPr="00B15A4C">
              <w:rPr>
                <w:rFonts w:eastAsia="Times New Roman"/>
              </w:rPr>
              <w:fldChar w:fldCharType="end"/>
            </w:r>
          </w:p>
        </w:tc>
        <w:tc>
          <w:tcPr>
            <w:tcW w:w="366" w:type="pct"/>
            <w:vAlign w:val="center"/>
          </w:tcPr>
          <w:p w14:paraId="27D2B242" w14:textId="1F40EF0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ppm</w:t>
            </w:r>
            <w:r w:rsidRPr="00B15A4C">
              <w:rPr>
                <w:rFonts w:eastAsia="Times New Roman"/>
              </w:rPr>
              <w:fldChar w:fldCharType="end"/>
            </w:r>
          </w:p>
        </w:tc>
        <w:tc>
          <w:tcPr>
            <w:tcW w:w="526" w:type="pct"/>
            <w:vAlign w:val="center"/>
          </w:tcPr>
          <w:p w14:paraId="27D2B243" w14:textId="35994CE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02/05/2024-12/10/2024</w:t>
            </w:r>
            <w:r w:rsidRPr="00B15A4C">
              <w:rPr>
                <w:rFonts w:eastAsia="Times New Roman"/>
              </w:rPr>
              <w:fldChar w:fldCharType="end"/>
            </w:r>
          </w:p>
        </w:tc>
        <w:tc>
          <w:tcPr>
            <w:tcW w:w="550" w:type="pct"/>
            <w:vAlign w:val="center"/>
          </w:tcPr>
          <w:p w14:paraId="27D2B244" w14:textId="75EB02F5"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786" w:type="pct"/>
            <w:vAlign w:val="center"/>
          </w:tcPr>
          <w:p w14:paraId="27D2B245" w14:textId="1BB2D45F"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 xml:space="preserve">Runoff from fertilizer use, leaching from sepic tanks, sewage, erosion of natural deposits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00590110" w14:textId="77777777" w:rsidR="00334097" w:rsidRDefault="00B15A4C" w:rsidP="00EF1D3D">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 xml:space="preserve">Distribution </w:t>
            </w:r>
          </w:p>
          <w:p w14:paraId="27D2B247" w14:textId="7C552934" w:rsidR="00B15A4C" w:rsidRPr="00B15A4C" w:rsidRDefault="00334097" w:rsidP="00EF1D3D">
            <w:pPr>
              <w:rPr>
                <w:rFonts w:eastAsia="Times New Roman"/>
              </w:rPr>
            </w:pPr>
            <w:r>
              <w:t>Chlorine</w:t>
            </w:r>
            <w:r w:rsidR="00B15A4C" w:rsidRPr="00B15A4C">
              <w:rPr>
                <w:rFonts w:eastAsia="Times New Roman"/>
              </w:rPr>
              <w:fldChar w:fldCharType="end"/>
            </w:r>
          </w:p>
        </w:tc>
        <w:tc>
          <w:tcPr>
            <w:tcW w:w="470" w:type="pct"/>
            <w:vAlign w:val="center"/>
          </w:tcPr>
          <w:p w14:paraId="27D2B248" w14:textId="1B27AE62"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4</w:t>
            </w:r>
            <w:r w:rsidRPr="00B15A4C">
              <w:rPr>
                <w:rFonts w:eastAsia="Times New Roman"/>
              </w:rPr>
              <w:fldChar w:fldCharType="end"/>
            </w:r>
          </w:p>
        </w:tc>
        <w:tc>
          <w:tcPr>
            <w:tcW w:w="460" w:type="pct"/>
            <w:vAlign w:val="center"/>
          </w:tcPr>
          <w:p w14:paraId="27D2B249" w14:textId="786B96BB"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4</w:t>
            </w:r>
            <w:r w:rsidRPr="00B15A4C">
              <w:rPr>
                <w:rFonts w:eastAsia="Times New Roman"/>
              </w:rPr>
              <w:fldChar w:fldCharType="end"/>
            </w:r>
          </w:p>
        </w:tc>
        <w:tc>
          <w:tcPr>
            <w:tcW w:w="513" w:type="pct"/>
            <w:vAlign w:val="center"/>
          </w:tcPr>
          <w:p w14:paraId="27D2B24A" w14:textId="778B93B8"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1.03</w:t>
            </w:r>
            <w:r w:rsidRPr="00B15A4C">
              <w:rPr>
                <w:rFonts w:eastAsia="Times New Roman"/>
              </w:rPr>
              <w:fldChar w:fldCharType="end"/>
            </w:r>
          </w:p>
        </w:tc>
        <w:tc>
          <w:tcPr>
            <w:tcW w:w="599" w:type="pct"/>
            <w:vAlign w:val="center"/>
          </w:tcPr>
          <w:p w14:paraId="27D2B24B" w14:textId="3FBF4451"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0.82-1.03</w:t>
            </w:r>
            <w:r w:rsidRPr="00B15A4C">
              <w:rPr>
                <w:rFonts w:eastAsia="Times New Roman"/>
              </w:rPr>
              <w:fldChar w:fldCharType="end"/>
            </w:r>
          </w:p>
        </w:tc>
        <w:tc>
          <w:tcPr>
            <w:tcW w:w="366" w:type="pct"/>
            <w:vAlign w:val="center"/>
          </w:tcPr>
          <w:p w14:paraId="27D2B24C" w14:textId="353270AD"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ppm</w:t>
            </w:r>
            <w:r w:rsidRPr="00B15A4C">
              <w:rPr>
                <w:rFonts w:eastAsia="Times New Roman"/>
              </w:rPr>
              <w:fldChar w:fldCharType="end"/>
            </w:r>
          </w:p>
        </w:tc>
        <w:tc>
          <w:tcPr>
            <w:tcW w:w="526" w:type="pct"/>
            <w:vAlign w:val="center"/>
          </w:tcPr>
          <w:p w14:paraId="71E8952D" w14:textId="77777777" w:rsidR="00334097" w:rsidRDefault="00B15A4C" w:rsidP="00EF1D3D">
            <w:pPr>
              <w:jc w:val="cente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Highest Value</w:t>
            </w:r>
          </w:p>
          <w:p w14:paraId="4A6E4A07" w14:textId="64520373" w:rsidR="00334097" w:rsidRDefault="00334097" w:rsidP="00EF1D3D">
            <w:pPr>
              <w:jc w:val="center"/>
            </w:pPr>
            <w:r>
              <w:t>1/2024</w:t>
            </w:r>
          </w:p>
          <w:p w14:paraId="27D2B24D" w14:textId="0D3629A7" w:rsidR="00B15A4C" w:rsidRPr="00B15A4C" w:rsidRDefault="00B15A4C" w:rsidP="00EF1D3D">
            <w:pPr>
              <w:jc w:val="center"/>
              <w:rPr>
                <w:rFonts w:eastAsia="Times New Roman"/>
              </w:rPr>
            </w:pPr>
            <w:r w:rsidRPr="00B15A4C">
              <w:rPr>
                <w:rFonts w:eastAsia="Times New Roman"/>
              </w:rPr>
              <w:fldChar w:fldCharType="end"/>
            </w:r>
          </w:p>
        </w:tc>
        <w:tc>
          <w:tcPr>
            <w:tcW w:w="550" w:type="pct"/>
            <w:vAlign w:val="center"/>
          </w:tcPr>
          <w:p w14:paraId="27D2B24E" w14:textId="2DFDCE8B"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N</w:t>
            </w:r>
            <w:r w:rsidRPr="00B15A4C">
              <w:rPr>
                <w:rFonts w:eastAsia="Times New Roman"/>
              </w:rPr>
              <w:fldChar w:fldCharType="end"/>
            </w:r>
          </w:p>
        </w:tc>
        <w:tc>
          <w:tcPr>
            <w:tcW w:w="786" w:type="pct"/>
            <w:vAlign w:val="center"/>
          </w:tcPr>
          <w:p w14:paraId="27D2B24F" w14:textId="2769F27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4097">
              <w:t xml:space="preserve">Water additive to control microbes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173E5018"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Chlorine</w:t>
            </w:r>
            <w:r w:rsidRPr="00B15A4C">
              <w:rPr>
                <w:rFonts w:eastAsia="Times New Roman"/>
              </w:rPr>
              <w:fldChar w:fldCharType="end"/>
            </w:r>
          </w:p>
        </w:tc>
        <w:tc>
          <w:tcPr>
            <w:tcW w:w="650" w:type="pct"/>
            <w:vAlign w:val="center"/>
          </w:tcPr>
          <w:p w14:paraId="27D2B280" w14:textId="2E383364"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0.50</w:t>
            </w:r>
            <w:r w:rsidRPr="00B15A4C">
              <w:rPr>
                <w:rFonts w:eastAsia="Times New Roman"/>
              </w:rPr>
              <w:fldChar w:fldCharType="end"/>
            </w:r>
            <w:bookmarkEnd w:id="110"/>
          </w:p>
        </w:tc>
        <w:bookmarkStart w:id="111" w:name="Text26"/>
        <w:tc>
          <w:tcPr>
            <w:tcW w:w="522" w:type="pct"/>
            <w:vAlign w:val="center"/>
          </w:tcPr>
          <w:p w14:paraId="27D2B281" w14:textId="1042499A"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0.69</w:t>
            </w:r>
            <w:r w:rsidRPr="00B15A4C">
              <w:rPr>
                <w:rFonts w:eastAsia="Times New Roman"/>
              </w:rPr>
              <w:fldChar w:fldCharType="end"/>
            </w:r>
            <w:bookmarkEnd w:id="111"/>
          </w:p>
        </w:tc>
        <w:tc>
          <w:tcPr>
            <w:tcW w:w="608" w:type="pct"/>
            <w:vAlign w:val="center"/>
          </w:tcPr>
          <w:p w14:paraId="27D2B282" w14:textId="2A9DF7B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0.69-1.24</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5E75F9C2"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10/16/2024(Lowest)</w:t>
            </w:r>
            <w:r w:rsidRPr="00B15A4C">
              <w:rPr>
                <w:rFonts w:eastAsia="Times New Roman"/>
              </w:rPr>
              <w:fldChar w:fldCharType="end"/>
            </w:r>
          </w:p>
        </w:tc>
        <w:tc>
          <w:tcPr>
            <w:tcW w:w="513" w:type="pct"/>
            <w:vAlign w:val="center"/>
          </w:tcPr>
          <w:p w14:paraId="27D2B285" w14:textId="40E4A327"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Water additive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19E7B83C"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2.5</w:t>
            </w:r>
            <w:r w:rsidRPr="00B15A4C">
              <w:rPr>
                <w:rFonts w:eastAsia="Times New Roman"/>
              </w:rPr>
              <w:fldChar w:fldCharType="end"/>
            </w:r>
          </w:p>
        </w:tc>
        <w:tc>
          <w:tcPr>
            <w:tcW w:w="619" w:type="pct"/>
            <w:vAlign w:val="center"/>
          </w:tcPr>
          <w:p w14:paraId="19FEC9F4" w14:textId="3E547185"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12067A">
              <w:t>0-2.5</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67DE6E4D"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12067A">
              <w:t>0</w:t>
            </w:r>
            <w:r>
              <w:rPr>
                <w:rFonts w:eastAsia="Times New Roman"/>
              </w:rPr>
              <w:fldChar w:fldCharType="end"/>
            </w:r>
          </w:p>
        </w:tc>
        <w:tc>
          <w:tcPr>
            <w:tcW w:w="484" w:type="pct"/>
            <w:vAlign w:val="center"/>
          </w:tcPr>
          <w:p w14:paraId="27D2B29C" w14:textId="697D27C2"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67BB6FCC"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0.082</w:t>
            </w:r>
            <w:r w:rsidRPr="00B15A4C">
              <w:rPr>
                <w:rFonts w:eastAsia="Times New Roman"/>
              </w:rPr>
              <w:fldChar w:fldCharType="end"/>
            </w:r>
          </w:p>
        </w:tc>
        <w:tc>
          <w:tcPr>
            <w:tcW w:w="619" w:type="pct"/>
            <w:vAlign w:val="center"/>
          </w:tcPr>
          <w:p w14:paraId="49E6CE62" w14:textId="6E1D04F5"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12067A">
              <w:t>0-0.082</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3641ADA9"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w:t>
            </w:r>
            <w:r w:rsidRPr="00B15A4C">
              <w:rPr>
                <w:rFonts w:eastAsia="Times New Roman"/>
              </w:rPr>
              <w:fldChar w:fldCharType="end"/>
            </w:r>
          </w:p>
        </w:tc>
        <w:tc>
          <w:tcPr>
            <w:tcW w:w="484" w:type="pct"/>
            <w:vAlign w:val="center"/>
          </w:tcPr>
          <w:p w14:paraId="27D2B2A5" w14:textId="4959BB16"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2EAC7C5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4A33F0FA"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1F4784F0"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11BB171B"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2483705F"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4C904BAC"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4BE1D7F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45D54749"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2067A">
              <w:t>All samples were below the MCL therefore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34083CD5" w14:textId="77777777" w:rsidR="00472001"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472001">
              <w:t>Fail to monitor TTHM/HAA5 (07/01/2024)</w:t>
            </w:r>
          </w:p>
          <w:p w14:paraId="1200B1C5" w14:textId="77777777" w:rsidR="00334097" w:rsidRDefault="00472001" w:rsidP="00EF1D3D">
            <w:pPr>
              <w:spacing w:line="360" w:lineRule="auto"/>
              <w:jc w:val="both"/>
            </w:pPr>
            <w:r>
              <w:t>Fail to monitor routine rtcr (10/01/2024)</w:t>
            </w:r>
          </w:p>
          <w:p w14:paraId="27D2B2FE" w14:textId="6D89858D" w:rsidR="00B15A4C" w:rsidRPr="00B15A4C" w:rsidRDefault="00334097" w:rsidP="00EF1D3D">
            <w:pPr>
              <w:spacing w:line="360" w:lineRule="auto"/>
              <w:jc w:val="both"/>
              <w:rPr>
                <w:rFonts w:eastAsia="Times New Roman"/>
                <w:sz w:val="22"/>
              </w:rPr>
            </w:pPr>
            <w:r>
              <w:t>Violation for late coliform reporting (11/2024)</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5766729C"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w:t>
      </w:r>
      <w:r w:rsidR="0095598E">
        <w:rPr>
          <w:rFonts w:eastAsia="Times New Roman"/>
          <w:sz w:val="22"/>
          <w:szCs w:val="22"/>
        </w:rPr>
        <w:t>Big Spring Terrace</w:t>
      </w:r>
      <w:r>
        <w:rPr>
          <w:rFonts w:eastAsia="Times New Roman"/>
          <w:sz w:val="22"/>
          <w:szCs w:val="22"/>
        </w:rPr>
        <w:t xml:space="preserve">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 xml:space="preserve">You can also use a filter certified by an American National Standards Institute accredited certifier to reduce lead in drinking water.  If you are concerned about lead in your water and wish to have your water tested, contact </w:t>
      </w:r>
      <w:r w:rsidR="0095598E">
        <w:rPr>
          <w:rFonts w:eastAsia="Times New Roman"/>
          <w:sz w:val="22"/>
          <w:szCs w:val="22"/>
        </w:rPr>
        <w:t>Phoenix WAWO at 570-246-4247.</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14894A1B"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472001">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749EBDB7"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472001">
        <w:t>Big Spring Terrace</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472001">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472001">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14DC3" w14:textId="77777777" w:rsidR="00A360B0" w:rsidRDefault="00A360B0" w:rsidP="004F2FDE">
      <w:r>
        <w:separator/>
      </w:r>
    </w:p>
  </w:endnote>
  <w:endnote w:type="continuationSeparator" w:id="0">
    <w:p w14:paraId="44F56DC5" w14:textId="77777777" w:rsidR="00A360B0" w:rsidRDefault="00A360B0"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53085" w14:textId="77777777" w:rsidR="00A360B0" w:rsidRDefault="00A360B0" w:rsidP="004F2FDE">
      <w:r>
        <w:separator/>
      </w:r>
    </w:p>
  </w:footnote>
  <w:footnote w:type="continuationSeparator" w:id="0">
    <w:p w14:paraId="2FDC93DC" w14:textId="77777777" w:rsidR="00A360B0" w:rsidRDefault="00A360B0"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57FFE"/>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E1189"/>
    <w:rsid w:val="000F113F"/>
    <w:rsid w:val="000F22D4"/>
    <w:rsid w:val="0011687C"/>
    <w:rsid w:val="0012067A"/>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1177"/>
    <w:rsid w:val="001B4BE3"/>
    <w:rsid w:val="001B4E37"/>
    <w:rsid w:val="001B7F28"/>
    <w:rsid w:val="001C0B88"/>
    <w:rsid w:val="001C2218"/>
    <w:rsid w:val="001D0259"/>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77D29"/>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4097"/>
    <w:rsid w:val="00337537"/>
    <w:rsid w:val="00342D45"/>
    <w:rsid w:val="003469F6"/>
    <w:rsid w:val="00351DC3"/>
    <w:rsid w:val="003561B6"/>
    <w:rsid w:val="00357692"/>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001"/>
    <w:rsid w:val="0047245A"/>
    <w:rsid w:val="004730F5"/>
    <w:rsid w:val="00481BD5"/>
    <w:rsid w:val="004848BB"/>
    <w:rsid w:val="0049031A"/>
    <w:rsid w:val="00492CD0"/>
    <w:rsid w:val="004953AA"/>
    <w:rsid w:val="004A00A1"/>
    <w:rsid w:val="004A1D7D"/>
    <w:rsid w:val="004A45F5"/>
    <w:rsid w:val="004A60AB"/>
    <w:rsid w:val="004A6C15"/>
    <w:rsid w:val="004A7160"/>
    <w:rsid w:val="004B01CD"/>
    <w:rsid w:val="004B1338"/>
    <w:rsid w:val="004C131E"/>
    <w:rsid w:val="004C22CB"/>
    <w:rsid w:val="004C7213"/>
    <w:rsid w:val="004D3FF1"/>
    <w:rsid w:val="004D5338"/>
    <w:rsid w:val="004F25F0"/>
    <w:rsid w:val="004F2FDE"/>
    <w:rsid w:val="004F31EE"/>
    <w:rsid w:val="004F3318"/>
    <w:rsid w:val="00500AE6"/>
    <w:rsid w:val="0050658A"/>
    <w:rsid w:val="005114DE"/>
    <w:rsid w:val="00511D56"/>
    <w:rsid w:val="0051325F"/>
    <w:rsid w:val="005268AB"/>
    <w:rsid w:val="0052746B"/>
    <w:rsid w:val="00531987"/>
    <w:rsid w:val="005326F2"/>
    <w:rsid w:val="0053670E"/>
    <w:rsid w:val="005376B7"/>
    <w:rsid w:val="00551AE7"/>
    <w:rsid w:val="00552573"/>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021A"/>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72D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5598E"/>
    <w:rsid w:val="00961B63"/>
    <w:rsid w:val="00964B3A"/>
    <w:rsid w:val="00981190"/>
    <w:rsid w:val="0099012F"/>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360B0"/>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67"/>
    <w:rsid w:val="00D67DD1"/>
    <w:rsid w:val="00D71A9E"/>
    <w:rsid w:val="00D828C5"/>
    <w:rsid w:val="00D8503A"/>
    <w:rsid w:val="00D8519D"/>
    <w:rsid w:val="00D900FB"/>
    <w:rsid w:val="00D921CE"/>
    <w:rsid w:val="00D970F9"/>
    <w:rsid w:val="00DA2BED"/>
    <w:rsid w:val="00DA58AD"/>
    <w:rsid w:val="00DB15EA"/>
    <w:rsid w:val="00DC06FA"/>
    <w:rsid w:val="00DC0D57"/>
    <w:rsid w:val="00DC38FC"/>
    <w:rsid w:val="00DC65AE"/>
    <w:rsid w:val="00DD79DA"/>
    <w:rsid w:val="00DE0C2B"/>
    <w:rsid w:val="00DE36F5"/>
    <w:rsid w:val="00DE4B04"/>
    <w:rsid w:val="00DE55D8"/>
    <w:rsid w:val="00DE67B1"/>
    <w:rsid w:val="00DE77EC"/>
    <w:rsid w:val="00E0491E"/>
    <w:rsid w:val="00E06332"/>
    <w:rsid w:val="00E267D8"/>
    <w:rsid w:val="00E2790F"/>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40C7"/>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2DE8"/>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14344</Words>
  <Characters>81767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20</cp:revision>
  <cp:lastPrinted>2025-01-23T16:47:00Z</cp:lastPrinted>
  <dcterms:created xsi:type="dcterms:W3CDTF">2025-03-25T12:22:00Z</dcterms:created>
  <dcterms:modified xsi:type="dcterms:W3CDTF">2025-06-30T14:06:00Z</dcterms:modified>
</cp:coreProperties>
</file>