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1F6D7" w14:textId="77777777" w:rsidR="00540E3F" w:rsidRPr="00540E3F" w:rsidRDefault="00540E3F" w:rsidP="00540E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40E3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Summary: Nuclear Posture as Strategy — Not Structure</w:t>
      </w:r>
    </w:p>
    <w:p w14:paraId="0F579051" w14:textId="77777777" w:rsidR="00540E3F" w:rsidRPr="00540E3F" w:rsidRDefault="00540E3F" w:rsidP="0054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40E3F">
        <w:rPr>
          <w:rFonts w:ascii="Times New Roman" w:eastAsia="Times New Roman" w:hAnsi="Times New Roman" w:cs="Times New Roman"/>
          <w:kern w:val="0"/>
          <w14:ligatures w14:val="none"/>
        </w:rPr>
        <w:t xml:space="preserve">This article challenges the structuralist view of nuclear posture, which assumes states adopt fixed deterrence doctrines—such as </w:t>
      </w:r>
      <w:r w:rsidRPr="00540E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catalytic</w:t>
      </w:r>
      <w:r w:rsidRPr="00540E3F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540E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assured retaliation</w:t>
      </w:r>
      <w:r w:rsidRPr="00540E3F">
        <w:rPr>
          <w:rFonts w:ascii="Times New Roman" w:eastAsia="Times New Roman" w:hAnsi="Times New Roman" w:cs="Times New Roman"/>
          <w:kern w:val="0"/>
          <w14:ligatures w14:val="none"/>
        </w:rPr>
        <w:t xml:space="preserve">, or </w:t>
      </w:r>
      <w:r w:rsidRPr="00540E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asymmetric escalation</w:t>
      </w:r>
      <w:r w:rsidRPr="00540E3F">
        <w:rPr>
          <w:rFonts w:ascii="Times New Roman" w:eastAsia="Times New Roman" w:hAnsi="Times New Roman" w:cs="Times New Roman"/>
          <w:kern w:val="0"/>
          <w14:ligatures w14:val="none"/>
        </w:rPr>
        <w:t xml:space="preserve">—based on regime type, alliances, and force balance. Instead, it proposes a new model: the </w:t>
      </w:r>
      <w:r w:rsidRPr="00540E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Strategic Ends-Based Theory of Nuclear Posture</w:t>
      </w:r>
      <w:r w:rsidRPr="00540E3F">
        <w:rPr>
          <w:rFonts w:ascii="Times New Roman" w:eastAsia="Times New Roman" w:hAnsi="Times New Roman" w:cs="Times New Roman"/>
          <w:kern w:val="0"/>
          <w14:ligatures w14:val="none"/>
        </w:rPr>
        <w:t xml:space="preserve">, which reframes posture as a </w:t>
      </w:r>
      <w:r w:rsidRPr="00540E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dynamic strategic signal</w:t>
      </w:r>
      <w:r w:rsidRPr="00540E3F">
        <w:rPr>
          <w:rFonts w:ascii="Times New Roman" w:eastAsia="Times New Roman" w:hAnsi="Times New Roman" w:cs="Times New Roman"/>
          <w:kern w:val="0"/>
          <w14:ligatures w14:val="none"/>
        </w:rPr>
        <w:t>, not a static structural outcome.</w:t>
      </w:r>
    </w:p>
    <w:p w14:paraId="2D4830B8" w14:textId="77777777" w:rsidR="00540E3F" w:rsidRPr="00540E3F" w:rsidRDefault="00540E3F" w:rsidP="0054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40E3F">
        <w:rPr>
          <w:rFonts w:ascii="Times New Roman" w:eastAsia="Times New Roman" w:hAnsi="Times New Roman" w:cs="Times New Roman"/>
          <w:kern w:val="0"/>
          <w14:ligatures w14:val="none"/>
        </w:rPr>
        <w:t>According to this theory:</w:t>
      </w:r>
    </w:p>
    <w:p w14:paraId="4581CCA6" w14:textId="77777777" w:rsidR="00540E3F" w:rsidRPr="00540E3F" w:rsidRDefault="00540E3F" w:rsidP="00540E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40E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Nuclear posture is a communicative tool</w:t>
      </w:r>
      <w:r w:rsidRPr="00540E3F">
        <w:rPr>
          <w:rFonts w:ascii="Times New Roman" w:eastAsia="Times New Roman" w:hAnsi="Times New Roman" w:cs="Times New Roman"/>
          <w:kern w:val="0"/>
          <w14:ligatures w14:val="none"/>
        </w:rPr>
        <w:t xml:space="preserve">, performed to serve shifting </w:t>
      </w:r>
      <w:r w:rsidRPr="00540E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political ends</w:t>
      </w:r>
      <w:r w:rsidRPr="00540E3F">
        <w:rPr>
          <w:rFonts w:ascii="Times New Roman" w:eastAsia="Times New Roman" w:hAnsi="Times New Roman" w:cs="Times New Roman"/>
          <w:kern w:val="0"/>
          <w14:ligatures w14:val="none"/>
        </w:rPr>
        <w:t xml:space="preserve">—including deterrence, </w:t>
      </w:r>
      <w:proofErr w:type="spellStart"/>
      <w:r w:rsidRPr="00540E3F">
        <w:rPr>
          <w:rFonts w:ascii="Times New Roman" w:eastAsia="Times New Roman" w:hAnsi="Times New Roman" w:cs="Times New Roman"/>
          <w:kern w:val="0"/>
          <w14:ligatures w14:val="none"/>
        </w:rPr>
        <w:t>compellence</w:t>
      </w:r>
      <w:proofErr w:type="spellEnd"/>
      <w:r w:rsidRPr="00540E3F">
        <w:rPr>
          <w:rFonts w:ascii="Times New Roman" w:eastAsia="Times New Roman" w:hAnsi="Times New Roman" w:cs="Times New Roman"/>
          <w:kern w:val="0"/>
          <w14:ligatures w14:val="none"/>
        </w:rPr>
        <w:t>, escalation control, alliance reassurance, and domestic legitimacy.</w:t>
      </w:r>
    </w:p>
    <w:p w14:paraId="1F94D2ED" w14:textId="77777777" w:rsidR="00540E3F" w:rsidRPr="00540E3F" w:rsidRDefault="00540E3F" w:rsidP="00540E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40E3F">
        <w:rPr>
          <w:rFonts w:ascii="Times New Roman" w:eastAsia="Times New Roman" w:hAnsi="Times New Roman" w:cs="Times New Roman"/>
          <w:kern w:val="0"/>
          <w14:ligatures w14:val="none"/>
        </w:rPr>
        <w:t xml:space="preserve">States </w:t>
      </w:r>
      <w:r w:rsidRPr="00540E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adapt posture without structural change</w:t>
      </w:r>
      <w:r w:rsidRPr="00540E3F">
        <w:rPr>
          <w:rFonts w:ascii="Times New Roman" w:eastAsia="Times New Roman" w:hAnsi="Times New Roman" w:cs="Times New Roman"/>
          <w:kern w:val="0"/>
          <w14:ligatures w14:val="none"/>
        </w:rPr>
        <w:t>, recalibrating behavior and rhetoric in response to crises, audience perception, and strategic reassessment.</w:t>
      </w:r>
    </w:p>
    <w:p w14:paraId="2B6C80AD" w14:textId="77777777" w:rsidR="00540E3F" w:rsidRPr="00540E3F" w:rsidRDefault="00540E3F" w:rsidP="00540E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40E3F">
        <w:rPr>
          <w:rFonts w:ascii="Times New Roman" w:eastAsia="Times New Roman" w:hAnsi="Times New Roman" w:cs="Times New Roman"/>
          <w:kern w:val="0"/>
          <w14:ligatures w14:val="none"/>
        </w:rPr>
        <w:t xml:space="preserve">Posture is a </w:t>
      </w:r>
      <w:r w:rsidRPr="00540E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layered performance</w:t>
      </w:r>
      <w:r w:rsidRPr="00540E3F">
        <w:rPr>
          <w:rFonts w:ascii="Times New Roman" w:eastAsia="Times New Roman" w:hAnsi="Times New Roman" w:cs="Times New Roman"/>
          <w:kern w:val="0"/>
          <w14:ligatures w14:val="none"/>
        </w:rPr>
        <w:t>: missile tests, doctrinal ambiguity, elite discourse, and deployment choices are all part of the signaling repertoire.</w:t>
      </w:r>
    </w:p>
    <w:p w14:paraId="7C91379F" w14:textId="77777777" w:rsidR="00540E3F" w:rsidRPr="00540E3F" w:rsidRDefault="00540E3F" w:rsidP="0054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40E3F">
        <w:rPr>
          <w:rFonts w:ascii="Times New Roman" w:eastAsia="Times New Roman" w:hAnsi="Times New Roman" w:cs="Times New Roman"/>
          <w:kern w:val="0"/>
          <w14:ligatures w14:val="none"/>
        </w:rPr>
        <w:t xml:space="preserve">The article uses detailed case studies of </w:t>
      </w:r>
      <w:r w:rsidRPr="00540E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North Korea, India, and Pakistan</w:t>
      </w:r>
      <w:r w:rsidRPr="00540E3F">
        <w:rPr>
          <w:rFonts w:ascii="Times New Roman" w:eastAsia="Times New Roman" w:hAnsi="Times New Roman" w:cs="Times New Roman"/>
          <w:kern w:val="0"/>
          <w14:ligatures w14:val="none"/>
        </w:rPr>
        <w:t xml:space="preserve"> to illustrate this model:</w:t>
      </w:r>
    </w:p>
    <w:p w14:paraId="6A0FD99A" w14:textId="77777777" w:rsidR="00540E3F" w:rsidRPr="00540E3F" w:rsidRDefault="00540E3F" w:rsidP="00540E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40E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North Korea</w:t>
      </w:r>
      <w:r w:rsidRPr="00540E3F">
        <w:rPr>
          <w:rFonts w:ascii="Times New Roman" w:eastAsia="Times New Roman" w:hAnsi="Times New Roman" w:cs="Times New Roman"/>
          <w:kern w:val="0"/>
          <w14:ligatures w14:val="none"/>
        </w:rPr>
        <w:t xml:space="preserve"> evolved from catalytic ambiguity to coercive, tactical nuclear signaling without alliance shifts.</w:t>
      </w:r>
    </w:p>
    <w:p w14:paraId="7D1BD91C" w14:textId="77777777" w:rsidR="00540E3F" w:rsidRPr="00540E3F" w:rsidRDefault="00540E3F" w:rsidP="00540E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40E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India</w:t>
      </w:r>
      <w:r w:rsidRPr="00540E3F">
        <w:rPr>
          <w:rFonts w:ascii="Times New Roman" w:eastAsia="Times New Roman" w:hAnsi="Times New Roman" w:cs="Times New Roman"/>
          <w:kern w:val="0"/>
          <w14:ligatures w14:val="none"/>
        </w:rPr>
        <w:t xml:space="preserve"> maintained a formal No First Use (NFU) doctrine while developing counterforce capabilities and signaling preemptive intent.</w:t>
      </w:r>
    </w:p>
    <w:p w14:paraId="30650427" w14:textId="77777777" w:rsidR="00540E3F" w:rsidRPr="00540E3F" w:rsidRDefault="00540E3F" w:rsidP="00540E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40E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Pakistan</w:t>
      </w:r>
      <w:r w:rsidRPr="00540E3F">
        <w:rPr>
          <w:rFonts w:ascii="Times New Roman" w:eastAsia="Times New Roman" w:hAnsi="Times New Roman" w:cs="Times New Roman"/>
          <w:kern w:val="0"/>
          <w14:ligatures w14:val="none"/>
        </w:rPr>
        <w:t xml:space="preserve"> shifted from overt escalation threats to calibrated restraint, depending on international audiences and domestic pressures.</w:t>
      </w:r>
    </w:p>
    <w:p w14:paraId="2E5D251C" w14:textId="77777777" w:rsidR="00540E3F" w:rsidRPr="00540E3F" w:rsidRDefault="00540E3F" w:rsidP="0054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40E3F">
        <w:rPr>
          <w:rFonts w:ascii="Times New Roman" w:eastAsia="Times New Roman" w:hAnsi="Times New Roman" w:cs="Times New Roman"/>
          <w:kern w:val="0"/>
          <w14:ligatures w14:val="none"/>
        </w:rPr>
        <w:t xml:space="preserve">Across all cases, </w:t>
      </w:r>
      <w:r w:rsidRPr="00540E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posture change occurred without structural transformation</w:t>
      </w:r>
      <w:r w:rsidRPr="00540E3F">
        <w:rPr>
          <w:rFonts w:ascii="Times New Roman" w:eastAsia="Times New Roman" w:hAnsi="Times New Roman" w:cs="Times New Roman"/>
          <w:kern w:val="0"/>
          <w14:ligatures w14:val="none"/>
        </w:rPr>
        <w:t>, violating the assumptions of posture optimization theory. Instead, these shifts align with the ends-based model: posture evolves as leaders pursue different goals and interpret audience feedback.</w:t>
      </w:r>
    </w:p>
    <w:p w14:paraId="46656DF3" w14:textId="77777777" w:rsidR="00540E3F" w:rsidRPr="00540E3F" w:rsidRDefault="00540E3F" w:rsidP="0054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40E3F">
        <w:rPr>
          <w:rFonts w:ascii="Times New Roman" w:eastAsia="Times New Roman" w:hAnsi="Times New Roman" w:cs="Times New Roman"/>
          <w:kern w:val="0"/>
          <w14:ligatures w14:val="none"/>
        </w:rPr>
        <w:t xml:space="preserve">The article concludes that in the 21st century, nuclear posture should be treated as </w:t>
      </w:r>
      <w:r w:rsidRPr="00540E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strategic performance</w:t>
      </w:r>
      <w:r w:rsidRPr="00540E3F">
        <w:rPr>
          <w:rFonts w:ascii="Times New Roman" w:eastAsia="Times New Roman" w:hAnsi="Times New Roman" w:cs="Times New Roman"/>
          <w:kern w:val="0"/>
          <w14:ligatures w14:val="none"/>
        </w:rPr>
        <w:t xml:space="preserve">, not doctrinal fixity. Analysts and policymakers must read posture </w:t>
      </w:r>
      <w:r w:rsidRPr="00540E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as signaling</w:t>
      </w:r>
      <w:r w:rsidRPr="00540E3F">
        <w:rPr>
          <w:rFonts w:ascii="Times New Roman" w:eastAsia="Times New Roman" w:hAnsi="Times New Roman" w:cs="Times New Roman"/>
          <w:kern w:val="0"/>
          <w14:ligatures w14:val="none"/>
        </w:rPr>
        <w:t>, understand its multi-audience logic, and prepare for posture manipulation in crises.</w:t>
      </w:r>
    </w:p>
    <w:p w14:paraId="68D81A64" w14:textId="77777777" w:rsidR="004E2EA5" w:rsidRDefault="004E2EA5"/>
    <w:sectPr w:rsidR="004E2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C4D29"/>
    <w:multiLevelType w:val="multilevel"/>
    <w:tmpl w:val="ADA0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E77428"/>
    <w:multiLevelType w:val="multilevel"/>
    <w:tmpl w:val="E8E4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6146354">
    <w:abstractNumId w:val="1"/>
  </w:num>
  <w:num w:numId="2" w16cid:durableId="2120954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3F"/>
    <w:rsid w:val="000712AF"/>
    <w:rsid w:val="004D26D9"/>
    <w:rsid w:val="004E2EA5"/>
    <w:rsid w:val="00540E3F"/>
    <w:rsid w:val="00F9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958567"/>
  <w15:chartTrackingRefBased/>
  <w15:docId w15:val="{8310924A-460A-0A4A-BD3C-C6FEAF73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0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40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E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E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E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E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E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E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E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E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E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E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E3F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40E3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40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TODD C CIV USAF AETC ACSC/SANDS</dc:creator>
  <cp:keywords/>
  <dc:description/>
  <cp:lastModifiedBy>ROBINSON, TODD C CIV USAF AETC ACSC/SANDS</cp:lastModifiedBy>
  <cp:revision>1</cp:revision>
  <dcterms:created xsi:type="dcterms:W3CDTF">2025-08-24T00:18:00Z</dcterms:created>
  <dcterms:modified xsi:type="dcterms:W3CDTF">2025-08-24T00:18:00Z</dcterms:modified>
</cp:coreProperties>
</file>