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9758" w14:textId="23018DA3" w:rsidR="00884B45" w:rsidRPr="007E5CA4" w:rsidRDefault="007E5CA4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1008" wp14:editId="1BA9D1CB">
                <wp:simplePos x="0" y="0"/>
                <wp:positionH relativeFrom="column">
                  <wp:posOffset>-252442</wp:posOffset>
                </wp:positionH>
                <wp:positionV relativeFrom="paragraph">
                  <wp:posOffset>-510493</wp:posOffset>
                </wp:positionV>
                <wp:extent cx="2126121" cy="426346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121" cy="42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4AB0A" w14:textId="51439D42" w:rsidR="007E5CA4" w:rsidRDefault="007E5CA4">
                            <w:r w:rsidRPr="007E5CA4">
                              <w:rPr>
                                <w:noProof/>
                              </w:rPr>
                              <w:drawing>
                                <wp:inline distT="0" distB="0" distL="0" distR="0" wp14:anchorId="3ABF5869" wp14:editId="38E68684">
                                  <wp:extent cx="1936750" cy="355911"/>
                                  <wp:effectExtent l="0" t="0" r="0" b="0"/>
                                  <wp:docPr id="3" name="Picture 3" descr="H:\Logos\DNR_Logo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Logos\DNR_Logo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355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0E1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-40.2pt;width:167.4pt;height:3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" fillcolor="white [3201]" stroked="f" strokeweight=".5pt">
                <v:textbox>
                  <w:txbxContent>
                    <w:p w14:paraId="1914AB0A" w14:textId="51439D42" w:rsidR="007E5CA4" w:rsidRDefault="007E5CA4">
                      <w:r w:rsidRPr="007E5CA4">
                        <w:rPr>
                          <w:noProof/>
                        </w:rPr>
                        <w:drawing>
                          <wp:inline distT="0" distB="0" distL="0" distR="0" wp14:anchorId="3ABF5869" wp14:editId="38E68684">
                            <wp:extent cx="1936750" cy="355911"/>
                            <wp:effectExtent l="0" t="0" r="0" b="0"/>
                            <wp:docPr id="3" name="Picture 3" descr="H:\Logos\DNR_Logo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Logos\DNR_Logo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355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3708">
        <w:rPr>
          <w:b/>
          <w:bCs/>
          <w:sz w:val="24"/>
        </w:rPr>
        <w:t>Irrigation and g</w:t>
      </w:r>
      <w:r w:rsidR="005F7B73" w:rsidRPr="007E5CA4">
        <w:rPr>
          <w:b/>
          <w:bCs/>
          <w:sz w:val="24"/>
        </w:rPr>
        <w:t xml:space="preserve">roundwater </w:t>
      </w:r>
      <w:r w:rsidR="00163708">
        <w:rPr>
          <w:b/>
          <w:bCs/>
          <w:sz w:val="24"/>
        </w:rPr>
        <w:t>l</w:t>
      </w:r>
      <w:r w:rsidR="003758EA" w:rsidRPr="007E5CA4">
        <w:rPr>
          <w:b/>
          <w:bCs/>
          <w:sz w:val="24"/>
        </w:rPr>
        <w:t xml:space="preserve">evel </w:t>
      </w:r>
      <w:r w:rsidR="00163708">
        <w:rPr>
          <w:b/>
          <w:bCs/>
          <w:sz w:val="24"/>
        </w:rPr>
        <w:t>monitoring:</w:t>
      </w:r>
      <w:r w:rsidR="005F7B73" w:rsidRPr="007E5CA4">
        <w:rPr>
          <w:b/>
          <w:bCs/>
          <w:sz w:val="24"/>
        </w:rPr>
        <w:t xml:space="preserve"> </w:t>
      </w:r>
      <w:r w:rsidR="00163708">
        <w:rPr>
          <w:b/>
          <w:bCs/>
          <w:sz w:val="24"/>
        </w:rPr>
        <w:t>More than just d</w:t>
      </w:r>
      <w:r w:rsidR="0057559C" w:rsidRPr="007E5CA4">
        <w:rPr>
          <w:b/>
          <w:bCs/>
          <w:sz w:val="24"/>
        </w:rPr>
        <w:t>ata</w:t>
      </w:r>
    </w:p>
    <w:p w14:paraId="6168B04A" w14:textId="6CE626FF" w:rsidR="007E5CA4" w:rsidRPr="007E5CA4" w:rsidRDefault="007E5CA4">
      <w:pPr>
        <w:rPr>
          <w:bCs/>
        </w:rPr>
      </w:pPr>
      <w:r w:rsidRPr="007E5CA4">
        <w:rPr>
          <w:bCs/>
        </w:rPr>
        <w:t>By Brent Beste, District Appropriation Hydrologist, DNR Southwest Region</w:t>
      </w:r>
    </w:p>
    <w:p w14:paraId="269F67FF" w14:textId="774FEAA5" w:rsidR="005F7B73" w:rsidRDefault="005F7B73">
      <w:r>
        <w:t xml:space="preserve">Many DNR </w:t>
      </w:r>
      <w:r w:rsidR="000D5932">
        <w:t>w</w:t>
      </w:r>
      <w:r>
        <w:t xml:space="preserve">ater </w:t>
      </w:r>
      <w:r w:rsidR="000D5932">
        <w:t>a</w:t>
      </w:r>
      <w:r>
        <w:t xml:space="preserve">ppropriation </w:t>
      </w:r>
      <w:r w:rsidR="000D5932">
        <w:t>p</w:t>
      </w:r>
      <w:r>
        <w:t xml:space="preserve">ermits have groundwater </w:t>
      </w:r>
      <w:r w:rsidR="00453245">
        <w:t xml:space="preserve">level </w:t>
      </w:r>
      <w:r>
        <w:t>monitoring conditions</w:t>
      </w:r>
      <w:r w:rsidR="000D5932">
        <w:t xml:space="preserve"> added to the permit to require the collection of groundwater aquifer water levels</w:t>
      </w:r>
      <w:r>
        <w:t>. O</w:t>
      </w:r>
      <w:r w:rsidR="00453245">
        <w:t>ccasionally</w:t>
      </w:r>
      <w:r>
        <w:t xml:space="preserve">, these </w:t>
      </w:r>
      <w:r w:rsidR="00453245">
        <w:t>pe</w:t>
      </w:r>
      <w:bookmarkStart w:id="0" w:name="_GoBack"/>
      <w:bookmarkEnd w:id="0"/>
      <w:r w:rsidR="00453245">
        <w:t xml:space="preserve">rmit </w:t>
      </w:r>
      <w:r>
        <w:t xml:space="preserve">conditions </w:t>
      </w:r>
      <w:r w:rsidR="000D5932">
        <w:t>may not get the attention</w:t>
      </w:r>
      <w:r w:rsidR="004A3999">
        <w:t xml:space="preserve"> they deserve.</w:t>
      </w:r>
      <w:r w:rsidR="000D5932">
        <w:t xml:space="preserve"> </w:t>
      </w:r>
      <w:r w:rsidR="00F248F3" w:rsidRPr="00F248F3">
        <w:t>Often, the goal of groundwater monitoring is</w:t>
      </w:r>
      <w:r w:rsidR="000D5932" w:rsidRPr="00F248F3">
        <w:t xml:space="preserve"> </w:t>
      </w:r>
      <w:r w:rsidR="0088780A">
        <w:t xml:space="preserve">to </w:t>
      </w:r>
      <w:r w:rsidR="000D5932" w:rsidRPr="00F248F3">
        <w:t xml:space="preserve">protect the aquifer and reduce impacts to other water users and natural resources that also depend on the </w:t>
      </w:r>
      <w:r w:rsidR="00453245" w:rsidRPr="00F248F3">
        <w:t xml:space="preserve">same </w:t>
      </w:r>
      <w:r w:rsidR="000D5932" w:rsidRPr="00F248F3">
        <w:t>groundwater</w:t>
      </w:r>
      <w:r w:rsidRPr="00F248F3">
        <w:t>.</w:t>
      </w:r>
      <w:r>
        <w:t xml:space="preserve"> The information that </w:t>
      </w:r>
      <w:proofErr w:type="gramStart"/>
      <w:r>
        <w:t>is being collected</w:t>
      </w:r>
      <w:proofErr w:type="gramEnd"/>
      <w:r w:rsidR="0088780A">
        <w:t>,</w:t>
      </w:r>
      <w:r>
        <w:t xml:space="preserve"> however, can be</w:t>
      </w:r>
      <w:r w:rsidR="0057559C">
        <w:t xml:space="preserve"> incredibly</w:t>
      </w:r>
      <w:r>
        <w:t xml:space="preserve"> useful </w:t>
      </w:r>
      <w:r w:rsidR="00C9443B">
        <w:t xml:space="preserve">for </w:t>
      </w:r>
      <w:r>
        <w:t xml:space="preserve">irrigation management by </w:t>
      </w:r>
      <w:r w:rsidR="00615C2A">
        <w:t>water</w:t>
      </w:r>
      <w:r>
        <w:t xml:space="preserve"> users</w:t>
      </w:r>
      <w:r w:rsidR="00615C2A">
        <w:t xml:space="preserve">. </w:t>
      </w:r>
      <w:r w:rsidR="000D5932">
        <w:t xml:space="preserve">The </w:t>
      </w:r>
      <w:r>
        <w:t xml:space="preserve">DNR </w:t>
      </w:r>
      <w:r w:rsidR="000D5932">
        <w:t>wants local landowners and water users to help the DNR</w:t>
      </w:r>
      <w:r>
        <w:t xml:space="preserve"> manage </w:t>
      </w:r>
      <w:r w:rsidR="0057559C">
        <w:t>local groundwater</w:t>
      </w:r>
      <w:r>
        <w:t xml:space="preserve"> system</w:t>
      </w:r>
      <w:r w:rsidR="0057559C">
        <w:t>s</w:t>
      </w:r>
      <w:r w:rsidR="0088780A">
        <w:t>,</w:t>
      </w:r>
      <w:r w:rsidR="000D5932">
        <w:t xml:space="preserve"> as they </w:t>
      </w:r>
      <w:proofErr w:type="gramStart"/>
      <w:r w:rsidR="000D5932">
        <w:t>are most connected</w:t>
      </w:r>
      <w:proofErr w:type="gramEnd"/>
      <w:r w:rsidR="000D5932">
        <w:t xml:space="preserve"> to the groundwater resource</w:t>
      </w:r>
      <w:r w:rsidR="007F1B86">
        <w:t>.</w:t>
      </w:r>
      <w:r w:rsidR="00453245">
        <w:t xml:space="preserve"> </w:t>
      </w:r>
      <w:r w:rsidR="000D5932">
        <w:t xml:space="preserve"> </w:t>
      </w:r>
    </w:p>
    <w:p w14:paraId="32E0A8EF" w14:textId="4FE9B3FA" w:rsidR="00C20EC7" w:rsidRDefault="00C20EC7" w:rsidP="00C20EC7">
      <w:r>
        <w:t xml:space="preserve">The DNR utilizes groundwater level monitoring as required in state law, to manage water demands and inform decisions. Specifically, the reason may be to protect an aquifer, mitigate a well interference, or gather data to protect both irrigators and other water users if a well interference complaint </w:t>
      </w:r>
      <w:proofErr w:type="gramStart"/>
      <w:r>
        <w:t>is filed</w:t>
      </w:r>
      <w:proofErr w:type="gramEnd"/>
      <w:r>
        <w:t xml:space="preserve"> with the DNR. Water appropriation permits include these additional conditions to monitor groundwater levels for a specific and important purpose. These conditions </w:t>
      </w:r>
      <w:proofErr w:type="gramStart"/>
      <w:r>
        <w:t>are not added</w:t>
      </w:r>
      <w:proofErr w:type="gramEnd"/>
      <w:r>
        <w:t xml:space="preserve"> to permits lightly.</w:t>
      </w:r>
    </w:p>
    <w:p w14:paraId="281C8A9F" w14:textId="4D6FCB20" w:rsidR="005F7B73" w:rsidRDefault="005F7B73">
      <w:r>
        <w:t>Producers throughout Minnesota</w:t>
      </w:r>
      <w:r w:rsidR="00DE0040">
        <w:t xml:space="preserve"> learned to use</w:t>
      </w:r>
      <w:r>
        <w:t xml:space="preserve"> required </w:t>
      </w:r>
      <w:r w:rsidR="00D56445">
        <w:t xml:space="preserve">groundwater level </w:t>
      </w:r>
      <w:r>
        <w:t xml:space="preserve">monitoring </w:t>
      </w:r>
      <w:r w:rsidR="00DE0040">
        <w:t xml:space="preserve">for their benefit. This includes efforts to </w:t>
      </w:r>
      <w:r>
        <w:t xml:space="preserve">improve irrigation efficiency, protect resources, and make decisions on when and how much to irrigate. This </w:t>
      </w:r>
      <w:proofErr w:type="gramStart"/>
      <w:r>
        <w:t xml:space="preserve">is </w:t>
      </w:r>
      <w:r w:rsidR="00D56445">
        <w:t>regularly</w:t>
      </w:r>
      <w:r w:rsidR="00C9443B">
        <w:t xml:space="preserve"> </w:t>
      </w:r>
      <w:r w:rsidR="00615C2A">
        <w:t>practiced</w:t>
      </w:r>
      <w:proofErr w:type="gramEnd"/>
      <w:r>
        <w:t xml:space="preserve"> in areas of southwestern Minnesota where groundwater resources are limited by </w:t>
      </w:r>
      <w:r w:rsidR="00615C2A">
        <w:t>geology</w:t>
      </w:r>
      <w:r w:rsidR="00D56445">
        <w:t xml:space="preserve"> – the </w:t>
      </w:r>
      <w:r w:rsidR="00E47A08">
        <w:t>study of science that helps</w:t>
      </w:r>
      <w:r w:rsidR="00D56445">
        <w:t xml:space="preserve"> to </w:t>
      </w:r>
      <w:r w:rsidR="00E47A08">
        <w:t>explain</w:t>
      </w:r>
      <w:r w:rsidR="00D56445">
        <w:t xml:space="preserve"> how the rocks and soil below the ground determine water availability and aquifer extent</w:t>
      </w:r>
      <w:r>
        <w:t xml:space="preserve">. </w:t>
      </w:r>
    </w:p>
    <w:p w14:paraId="635D828C" w14:textId="44487E01" w:rsidR="00F74BB0" w:rsidRPr="00F74BB0" w:rsidRDefault="00F74BB0" w:rsidP="00F74BB0">
      <w:r w:rsidRPr="00F74BB0">
        <w:t xml:space="preserve">Reed Van </w:t>
      </w:r>
      <w:proofErr w:type="spellStart"/>
      <w:r w:rsidRPr="00F74BB0">
        <w:t>Hulzen</w:t>
      </w:r>
      <w:proofErr w:type="spellEnd"/>
      <w:r w:rsidRPr="00F74BB0">
        <w:t>, an irrigator in southwest Lincoln County</w:t>
      </w:r>
      <w:r w:rsidR="0088780A">
        <w:t>,</w:t>
      </w:r>
      <w:r w:rsidRPr="00F74BB0">
        <w:t xml:space="preserve"> irrigates in a</w:t>
      </w:r>
      <w:r w:rsidR="00C9443B">
        <w:t>n area</w:t>
      </w:r>
      <w:r w:rsidRPr="00F74BB0">
        <w:t xml:space="preserve"> with a thin layer of sandy </w:t>
      </w:r>
      <w:proofErr w:type="gramStart"/>
      <w:r w:rsidRPr="00F74BB0">
        <w:t>soils</w:t>
      </w:r>
      <w:proofErr w:type="gramEnd"/>
      <w:r w:rsidRPr="00F74BB0">
        <w:t xml:space="preserve"> and a thick layer of clay overlying a buried sand and gravel aquifer. Often, by late summer</w:t>
      </w:r>
      <w:r w:rsidR="0088780A">
        <w:t>,</w:t>
      </w:r>
      <w:r w:rsidRPr="00F74BB0">
        <w:t xml:space="preserve"> water levels </w:t>
      </w:r>
      <w:r w:rsidR="00B0289B">
        <w:t xml:space="preserve">in the pumped aquifer </w:t>
      </w:r>
      <w:r w:rsidRPr="00F74BB0">
        <w:t xml:space="preserve">reach a point </w:t>
      </w:r>
      <w:r w:rsidR="0088780A">
        <w:t xml:space="preserve">that </w:t>
      </w:r>
      <w:r w:rsidRPr="00F74BB0">
        <w:t xml:space="preserve">if pumping were to continue, permanent damage to the aquifer could occur. Van </w:t>
      </w:r>
      <w:proofErr w:type="spellStart"/>
      <w:r w:rsidRPr="00F74BB0">
        <w:t>Hulzen</w:t>
      </w:r>
      <w:proofErr w:type="spellEnd"/>
      <w:r w:rsidRPr="00F74BB0">
        <w:t xml:space="preserve"> said</w:t>
      </w:r>
      <w:r w:rsidR="00D56445">
        <w:t>,</w:t>
      </w:r>
      <w:r w:rsidRPr="00F74BB0">
        <w:t xml:space="preserve"> “</w:t>
      </w:r>
      <w:r w:rsidR="0088780A">
        <w:t>G</w:t>
      </w:r>
      <w:r w:rsidRPr="00F74BB0">
        <w:t xml:space="preserve">roundwater monitoring helps make decisions on when to start and stop pumping to meet DNR regulatory requirements to protect the aquifer.” By understanding how water levels respond, Van </w:t>
      </w:r>
      <w:proofErr w:type="spellStart"/>
      <w:r w:rsidRPr="00F74BB0">
        <w:t>Hulzen</w:t>
      </w:r>
      <w:proofErr w:type="spellEnd"/>
      <w:r w:rsidRPr="00F74BB0">
        <w:t xml:space="preserve"> is able manage irrigation timing to irrigate longer into the summer and ensure long</w:t>
      </w:r>
      <w:r w:rsidR="00D56445">
        <w:t>-</w:t>
      </w:r>
      <w:r w:rsidRPr="00F74BB0">
        <w:t>term water availability</w:t>
      </w:r>
      <w:r w:rsidR="00B0289B">
        <w:t>.</w:t>
      </w:r>
      <w:r w:rsidRPr="00F74BB0">
        <w:t xml:space="preserve"> Without </w:t>
      </w:r>
      <w:proofErr w:type="gramStart"/>
      <w:r w:rsidRPr="00F74BB0">
        <w:t>understanding</w:t>
      </w:r>
      <w:proofErr w:type="gramEnd"/>
      <w:r w:rsidRPr="00F74BB0">
        <w:t xml:space="preserve"> how water levels respond to pumping, water levels could fall below </w:t>
      </w:r>
      <w:r w:rsidR="00D56445">
        <w:t>the</w:t>
      </w:r>
      <w:r w:rsidRPr="00F74BB0">
        <w:t xml:space="preserve"> safe yield threshold</w:t>
      </w:r>
      <w:r w:rsidR="00D56445">
        <w:t xml:space="preserve"> established by the DNR for the local aquifer</w:t>
      </w:r>
      <w:r w:rsidRPr="00F74BB0">
        <w:t xml:space="preserve">. Water levels that fall below this water level for an extended period could limit </w:t>
      </w:r>
      <w:r w:rsidR="00362E9B" w:rsidRPr="00F74BB0">
        <w:t>long-term</w:t>
      </w:r>
      <w:r w:rsidRPr="00F74BB0">
        <w:t xml:space="preserve"> water availability</w:t>
      </w:r>
      <w:r w:rsidR="00362E9B">
        <w:t xml:space="preserve"> of the aquifer, including for permitted uses and domestic needs</w:t>
      </w:r>
      <w:r w:rsidRPr="00F74BB0">
        <w:t>.</w:t>
      </w:r>
      <w:r w:rsidR="00854073" w:rsidRPr="00854073">
        <w:rPr>
          <w:rFonts w:ascii="Calibri" w:eastAsia="Calibri" w:hAnsi="Calibri" w:cs="Times New Roman"/>
          <w:i/>
          <w:iCs/>
        </w:rPr>
        <w:t xml:space="preserve"> </w:t>
      </w:r>
      <w:r w:rsidR="00854073" w:rsidRPr="00854073">
        <w:rPr>
          <w:rFonts w:ascii="Calibri" w:eastAsia="Calibri" w:hAnsi="Calibri" w:cs="Times New Roman"/>
        </w:rPr>
        <w:t>In this situation, the monitoring well is important to extend the irrigation season and sustain the water source.</w:t>
      </w:r>
    </w:p>
    <w:p w14:paraId="1BEC72CB" w14:textId="2C16B917" w:rsidR="00332EEE" w:rsidRDefault="007C4D3E">
      <w:r>
        <w:t xml:space="preserve">In </w:t>
      </w:r>
      <w:r w:rsidR="00B0289B">
        <w:t xml:space="preserve">another </w:t>
      </w:r>
      <w:r>
        <w:t xml:space="preserve">area of southern Minnesota, </w:t>
      </w:r>
      <w:r w:rsidR="00362E9B">
        <w:t xml:space="preserve">the </w:t>
      </w:r>
      <w:r>
        <w:t>DNR works with producers to protect shallow groundwater resources</w:t>
      </w:r>
      <w:r w:rsidR="00362E9B">
        <w:t xml:space="preserve"> through mo</w:t>
      </w:r>
      <w:r w:rsidR="00E47A08">
        <w:t>nitoring groundwater levels</w:t>
      </w:r>
      <w:r w:rsidR="00B0289B">
        <w:t>.</w:t>
      </w:r>
      <w:r>
        <w:t xml:space="preserve"> </w:t>
      </w:r>
      <w:r w:rsidR="00C9443B">
        <w:t>G</w:t>
      </w:r>
      <w:r w:rsidR="00332EEE">
        <w:t xml:space="preserve">roundwater </w:t>
      </w:r>
      <w:r w:rsidR="00362E9B">
        <w:t xml:space="preserve">level </w:t>
      </w:r>
      <w:r w:rsidR="00332EEE">
        <w:t>monitoring highlighted the need to coordinate irrigation scheduling to manage groundwater use</w:t>
      </w:r>
      <w:r w:rsidR="00565AB7">
        <w:t>,</w:t>
      </w:r>
      <w:r w:rsidR="00332EEE">
        <w:t xml:space="preserve"> with the goal of avoiding well interferences</w:t>
      </w:r>
      <w:r w:rsidR="00C9443B">
        <w:t xml:space="preserve"> due to a better understanding of </w:t>
      </w:r>
      <w:r w:rsidR="00362E9B">
        <w:t xml:space="preserve">the </w:t>
      </w:r>
      <w:r w:rsidR="00C9443B">
        <w:t>geology</w:t>
      </w:r>
      <w:r w:rsidR="00362E9B">
        <w:t xml:space="preserve"> of the area</w:t>
      </w:r>
      <w:r w:rsidR="00332EEE">
        <w:t xml:space="preserve">. </w:t>
      </w:r>
      <w:r w:rsidR="00F74BB0">
        <w:t>When a consortium of irrigators installed a required monitoring well nest</w:t>
      </w:r>
      <w:r w:rsidR="00543A18">
        <w:t xml:space="preserve"> (a group of wells near one another to monitor</w:t>
      </w:r>
      <w:r w:rsidR="007F1B86">
        <w:t xml:space="preserve"> different aquifers</w:t>
      </w:r>
      <w:r w:rsidR="000D5932">
        <w:t xml:space="preserve"> </w:t>
      </w:r>
      <w:r w:rsidR="007F1B86">
        <w:t xml:space="preserve">to </w:t>
      </w:r>
      <w:r w:rsidR="000D5932">
        <w:t>compare to each other</w:t>
      </w:r>
      <w:r w:rsidR="00543A18">
        <w:t>)</w:t>
      </w:r>
      <w:r w:rsidR="00F74BB0">
        <w:t xml:space="preserve">, all involved learned how two aquifers were interconnected </w:t>
      </w:r>
      <w:r w:rsidR="00C9443B">
        <w:t>and how deep</w:t>
      </w:r>
      <w:r w:rsidR="00362E9B">
        <w:t>er</w:t>
      </w:r>
      <w:r w:rsidR="00C9443B">
        <w:t xml:space="preserve"> groundwater </w:t>
      </w:r>
      <w:r w:rsidR="00362E9B">
        <w:t xml:space="preserve">pumping </w:t>
      </w:r>
      <w:r w:rsidR="00C9443B">
        <w:t>was lowering the water level in shallower groundwater</w:t>
      </w:r>
      <w:r w:rsidR="00362E9B">
        <w:t xml:space="preserve"> (i.e., near the surface of the ground)</w:t>
      </w:r>
      <w:r w:rsidR="00C9443B">
        <w:t xml:space="preserve">. </w:t>
      </w:r>
      <w:r w:rsidR="003C160E">
        <w:t xml:space="preserve">By </w:t>
      </w:r>
      <w:r w:rsidR="00F74BB0">
        <w:t>monitoring and managing water use</w:t>
      </w:r>
      <w:r w:rsidR="003C160E">
        <w:t xml:space="preserve"> timing, the irrigators have put</w:t>
      </w:r>
      <w:r w:rsidR="00332EEE">
        <w:t xml:space="preserve"> less stress on the aquifer</w:t>
      </w:r>
      <w:r w:rsidR="007F1B86">
        <w:t>s</w:t>
      </w:r>
      <w:r w:rsidR="000D5932">
        <w:t xml:space="preserve"> and</w:t>
      </w:r>
      <w:r w:rsidR="00362E9B">
        <w:t xml:space="preserve"> prevented domestic</w:t>
      </w:r>
      <w:r w:rsidR="005C0F84">
        <w:t xml:space="preserve"> well interferences</w:t>
      </w:r>
      <w:r w:rsidR="003C160E">
        <w:t xml:space="preserve"> in th</w:t>
      </w:r>
      <w:r w:rsidR="00E47A08">
        <w:t>e</w:t>
      </w:r>
      <w:r w:rsidR="003C160E">
        <w:t xml:space="preserve"> area</w:t>
      </w:r>
      <w:r w:rsidR="005C0F84">
        <w:t xml:space="preserve"> </w:t>
      </w:r>
      <w:r w:rsidR="00C20EC7">
        <w:t xml:space="preserve">for the past </w:t>
      </w:r>
      <w:r w:rsidR="00565AB7">
        <w:t>five</w:t>
      </w:r>
      <w:r w:rsidR="00C20EC7">
        <w:t xml:space="preserve"> years, including </w:t>
      </w:r>
      <w:r w:rsidR="005C0F84">
        <w:t>during the 2021 drought.</w:t>
      </w:r>
    </w:p>
    <w:p w14:paraId="71B034BF" w14:textId="7EC78131" w:rsidR="007C4D3E" w:rsidRDefault="003C160E">
      <w:r>
        <w:lastRenderedPageBreak/>
        <w:t>B</w:t>
      </w:r>
      <w:r w:rsidR="00615C2A">
        <w:t>y</w:t>
      </w:r>
      <w:r w:rsidR="00DB22F0">
        <w:t xml:space="preserve"> </w:t>
      </w:r>
      <w:r w:rsidR="000D5932">
        <w:t>reaching out to</w:t>
      </w:r>
      <w:r w:rsidR="00DB22F0">
        <w:t xml:space="preserve"> your local </w:t>
      </w:r>
      <w:r w:rsidR="0012752B">
        <w:t>hydrologist</w:t>
      </w:r>
      <w:r w:rsidR="00DB22F0">
        <w:t xml:space="preserve"> to </w:t>
      </w:r>
      <w:r w:rsidR="000D5932">
        <w:t xml:space="preserve">ask questions and </w:t>
      </w:r>
      <w:r w:rsidR="00DB22F0">
        <w:t xml:space="preserve">understand the data </w:t>
      </w:r>
      <w:r w:rsidR="00615C2A">
        <w:t>irrigators are collecting,</w:t>
      </w:r>
      <w:r w:rsidR="00DB22F0">
        <w:t xml:space="preserve"> </w:t>
      </w:r>
      <w:r w:rsidR="0057559C">
        <w:t xml:space="preserve">an irrigator can learn a lot to </w:t>
      </w:r>
      <w:r w:rsidR="000D5932">
        <w:t xml:space="preserve">help </w:t>
      </w:r>
      <w:r w:rsidR="0057559C">
        <w:t xml:space="preserve">manage the </w:t>
      </w:r>
      <w:r w:rsidR="000D5932">
        <w:t>water availability and maintain that resource for the future</w:t>
      </w:r>
      <w:r w:rsidR="0057559C">
        <w:t>.</w:t>
      </w:r>
      <w:r>
        <w:t xml:space="preserve"> Groundwater</w:t>
      </w:r>
      <w:r w:rsidR="009A732F">
        <w:t xml:space="preserve"> level</w:t>
      </w:r>
      <w:r>
        <w:t xml:space="preserve"> monitoring </w:t>
      </w:r>
      <w:r w:rsidR="009A732F">
        <w:t>is</w:t>
      </w:r>
      <w:r>
        <w:t xml:space="preserve"> a tool used to manage water use</w:t>
      </w:r>
      <w:r w:rsidR="009A732F">
        <w:t>, protect domestic supplies and natural resources that depend on that same water such as trout streams and calcareous fens.</w:t>
      </w:r>
      <w:r>
        <w:t xml:space="preserve"> </w:t>
      </w:r>
      <w:r w:rsidR="00F248F3">
        <w:t xml:space="preserve">By </w:t>
      </w:r>
      <w:r w:rsidR="00741C66">
        <w:t xml:space="preserve">understanding the benefits of groundwater </w:t>
      </w:r>
      <w:proofErr w:type="gramStart"/>
      <w:r w:rsidR="00741C66">
        <w:t>level</w:t>
      </w:r>
      <w:proofErr w:type="gramEnd"/>
      <w:r w:rsidR="00741C66">
        <w:t xml:space="preserve"> monitoring and using it as </w:t>
      </w:r>
      <w:r w:rsidR="00F248F3">
        <w:t>one of the many tools to help manage water availability and protection, irrigators can learn to manage impacts to resources to mitigate problems before they become a potential concern.</w:t>
      </w:r>
    </w:p>
    <w:p w14:paraId="228AB000" w14:textId="44D15AFF" w:rsidR="00741C66" w:rsidRDefault="00741C66">
      <w:r>
        <w:t xml:space="preserve">Groundwater level information collected by </w:t>
      </w:r>
      <w:r w:rsidR="00565AB7">
        <w:t xml:space="preserve">the </w:t>
      </w:r>
      <w:r>
        <w:t xml:space="preserve">DNR, irrigators and others </w:t>
      </w:r>
      <w:proofErr w:type="gramStart"/>
      <w:r>
        <w:t>can be found</w:t>
      </w:r>
      <w:proofErr w:type="gramEnd"/>
      <w:r>
        <w:t xml:space="preserve"> by searching </w:t>
      </w:r>
      <w:hyperlink r:id="rId8" w:history="1">
        <w:r w:rsidRPr="002D2778">
          <w:rPr>
            <w:rStyle w:val="Hyperlink"/>
          </w:rPr>
          <w:t>MNDNR C</w:t>
        </w:r>
        <w:r w:rsidR="002D2778" w:rsidRPr="002D2778">
          <w:rPr>
            <w:rStyle w:val="Hyperlink"/>
          </w:rPr>
          <w:t xml:space="preserve">ooperative </w:t>
        </w:r>
        <w:r w:rsidRPr="002D2778">
          <w:rPr>
            <w:rStyle w:val="Hyperlink"/>
          </w:rPr>
          <w:t>G</w:t>
        </w:r>
        <w:r w:rsidR="002D2778" w:rsidRPr="002D2778">
          <w:rPr>
            <w:rStyle w:val="Hyperlink"/>
          </w:rPr>
          <w:t>roundwater Monitoring</w:t>
        </w:r>
      </w:hyperlink>
      <w:r>
        <w:t xml:space="preserve">, or directly at </w:t>
      </w:r>
      <w:hyperlink r:id="rId9" w:history="1">
        <w:r w:rsidRPr="00DD6C87">
          <w:rPr>
            <w:rStyle w:val="Hyperlink"/>
          </w:rPr>
          <w:t>dnr.state.mn.us/water</w:t>
        </w:r>
        <w:r w:rsidR="00565AB7" w:rsidRPr="00DD6C87">
          <w:rPr>
            <w:rStyle w:val="Hyperlink"/>
          </w:rPr>
          <w:t>s</w:t>
        </w:r>
        <w:r w:rsidRPr="00DD6C87">
          <w:rPr>
            <w:rStyle w:val="Hyperlink"/>
          </w:rPr>
          <w:t>/</w:t>
        </w:r>
        <w:proofErr w:type="spellStart"/>
        <w:r w:rsidRPr="00DD6C87">
          <w:rPr>
            <w:rStyle w:val="Hyperlink"/>
          </w:rPr>
          <w:t>cgm</w:t>
        </w:r>
        <w:proofErr w:type="spellEnd"/>
        <w:r w:rsidRPr="00DD6C87">
          <w:rPr>
            <w:rStyle w:val="Hyperlink"/>
          </w:rPr>
          <w:t>/index.html</w:t>
        </w:r>
      </w:hyperlink>
      <w:r w:rsidR="00B03997">
        <w:t>.</w:t>
      </w:r>
    </w:p>
    <w:sectPr w:rsidR="0074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72E4" w14:textId="77777777" w:rsidR="00542C89" w:rsidRDefault="00542C89" w:rsidP="007E5CA4">
      <w:pPr>
        <w:spacing w:after="0" w:line="240" w:lineRule="auto"/>
      </w:pPr>
      <w:r>
        <w:separator/>
      </w:r>
    </w:p>
  </w:endnote>
  <w:endnote w:type="continuationSeparator" w:id="0">
    <w:p w14:paraId="3FABE673" w14:textId="77777777" w:rsidR="00542C89" w:rsidRDefault="00542C89" w:rsidP="007E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4EC9" w14:textId="77777777" w:rsidR="00542C89" w:rsidRDefault="00542C89" w:rsidP="007E5CA4">
      <w:pPr>
        <w:spacing w:after="0" w:line="240" w:lineRule="auto"/>
      </w:pPr>
      <w:r>
        <w:separator/>
      </w:r>
    </w:p>
  </w:footnote>
  <w:footnote w:type="continuationSeparator" w:id="0">
    <w:p w14:paraId="060F2D1B" w14:textId="77777777" w:rsidR="00542C89" w:rsidRDefault="00542C89" w:rsidP="007E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D5932"/>
    <w:rsid w:val="0012752B"/>
    <w:rsid w:val="00163708"/>
    <w:rsid w:val="002D2778"/>
    <w:rsid w:val="002E5E2D"/>
    <w:rsid w:val="002F0D16"/>
    <w:rsid w:val="00332EEE"/>
    <w:rsid w:val="00362E9B"/>
    <w:rsid w:val="003758EA"/>
    <w:rsid w:val="003C160E"/>
    <w:rsid w:val="00453245"/>
    <w:rsid w:val="004A3999"/>
    <w:rsid w:val="00542C89"/>
    <w:rsid w:val="00543A18"/>
    <w:rsid w:val="00565AB7"/>
    <w:rsid w:val="0057559C"/>
    <w:rsid w:val="005C0F84"/>
    <w:rsid w:val="005F7B73"/>
    <w:rsid w:val="00603216"/>
    <w:rsid w:val="00615C2A"/>
    <w:rsid w:val="00741C66"/>
    <w:rsid w:val="007C4D3E"/>
    <w:rsid w:val="007D5C69"/>
    <w:rsid w:val="007E5CA4"/>
    <w:rsid w:val="007F1B86"/>
    <w:rsid w:val="007F3553"/>
    <w:rsid w:val="007F7759"/>
    <w:rsid w:val="00854073"/>
    <w:rsid w:val="00884B45"/>
    <w:rsid w:val="0088780A"/>
    <w:rsid w:val="008D7DE2"/>
    <w:rsid w:val="00964A52"/>
    <w:rsid w:val="009A732F"/>
    <w:rsid w:val="00A5442C"/>
    <w:rsid w:val="00A93FF5"/>
    <w:rsid w:val="00B0289B"/>
    <w:rsid w:val="00B03997"/>
    <w:rsid w:val="00C20EC7"/>
    <w:rsid w:val="00C872B6"/>
    <w:rsid w:val="00C9443B"/>
    <w:rsid w:val="00C96AB7"/>
    <w:rsid w:val="00D11236"/>
    <w:rsid w:val="00D51538"/>
    <w:rsid w:val="00D56445"/>
    <w:rsid w:val="00DB22F0"/>
    <w:rsid w:val="00DD6C87"/>
    <w:rsid w:val="00DE0040"/>
    <w:rsid w:val="00E47A08"/>
    <w:rsid w:val="00F248F3"/>
    <w:rsid w:val="00F648DC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984D"/>
  <w15:chartTrackingRefBased/>
  <w15:docId w15:val="{97F7CD0C-EF8E-4F74-A08E-793609D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A39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27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7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0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A4"/>
  </w:style>
  <w:style w:type="paragraph" w:styleId="Footer">
    <w:name w:val="footer"/>
    <w:basedOn w:val="Normal"/>
    <w:link w:val="FooterChar"/>
    <w:uiPriority w:val="99"/>
    <w:unhideWhenUsed/>
    <w:rsid w:val="007E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A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state.mn.us/waters/cgm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nr.state.mn.us/waters/cg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Beste, Brent (DNR)</dc:creator>
  <cp:keywords/>
  <dc:description/>
  <cp:lastModifiedBy>Miller, Dan W (DNR)</cp:lastModifiedBy>
  <cp:revision>3</cp:revision>
  <dcterms:created xsi:type="dcterms:W3CDTF">2022-08-01T16:33:00Z</dcterms:created>
  <dcterms:modified xsi:type="dcterms:W3CDTF">2022-08-05T18:16:00Z</dcterms:modified>
</cp:coreProperties>
</file>