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pPr>
      <w:r>
        <w:rPr>
          <w:rFonts w:ascii="Aptos" w:hAnsi="Aptos"/>
          <w:b/>
          <w:color w:val="D97828"/>
          <w:sz w:val="22"/>
        </w:rPr>
        <w:t>FORGE CHANGE</w:t>
      </w:r>
    </w:p>
    <w:p>
      <w:pPr>
        <w:pStyle w:val="Title"/>
      </w:pPr>
      <w:r>
        <w:t>Upper Perkiomen Enrollment Staffing and Accountability Review</w:t>
      </w:r>
    </w:p>
    <w:p>
      <w:pPr>
        <w:spacing w:after="440"/>
      </w:pPr>
      <w:r>
        <w:rPr>
          <w:rFonts w:ascii="Aptos Display" w:hAnsi="Aptos Display"/>
          <w:color w:val="000000"/>
          <w:sz w:val="32"/>
        </w:rPr>
        <w:t>Research Summary and Right to Know Action Plan</w:t>
      </w:r>
    </w:p>
    <w:p>
      <w:pPr>
        <w:spacing w:after="80"/>
      </w:pPr>
      <w:r>
        <w:rPr>
          <w:b/>
          <w:color w:val="D97828"/>
        </w:rPr>
        <w:t xml:space="preserve">Prepared for  </w:t>
      </w:r>
      <w:r>
        <w:t>Coach Dave  Director of Educational Theater</w:t>
      </w:r>
    </w:p>
    <w:p>
      <w:pPr>
        <w:spacing w:after="80"/>
      </w:pPr>
      <w:r>
        <w:rPr>
          <w:b/>
          <w:color w:val="D97828"/>
        </w:rPr>
        <w:t xml:space="preserve">Prepared by  </w:t>
      </w:r>
      <w:r>
        <w:t>Raeann Hofkin and Forge Change</w:t>
      </w:r>
    </w:p>
    <w:p>
      <w:pPr>
        <w:spacing w:after="80"/>
      </w:pPr>
      <w:r>
        <w:rPr>
          <w:b/>
          <w:color w:val="D97828"/>
        </w:rPr>
        <w:t xml:space="preserve">Date  </w:t>
      </w:r>
      <w:r>
        <w:t>September 2026</w:t>
      </w:r>
    </w:p>
    <w:p>
      <w:pPr>
        <w:spacing w:after="80"/>
      </w:pPr>
      <w:r>
        <w:rPr>
          <w:b/>
          <w:color w:val="D97828"/>
        </w:rPr>
        <w:t xml:space="preserve">Subject  </w:t>
      </w:r>
      <w:r>
        <w:t>Upper Perkiomen School District enrollment staffing costs services and outcomes</w:t>
      </w:r>
    </w:p>
    <w:p>
      <w:pPr>
        <w:spacing w:after="440"/>
      </w:pPr>
    </w:p>
    <w:p>
      <w:pPr>
        <w:spacing w:before="700" w:after="0"/>
      </w:pPr>
      <w:r>
        <w:rPr>
          <w:b/>
          <w:color w:val="000000"/>
          <w:sz w:val="24"/>
        </w:rPr>
        <w:t>Central question</w:t>
      </w:r>
    </w:p>
    <w:p>
      <w:pPr>
        <w:spacing w:after="0"/>
      </w:pPr>
      <w:r>
        <w:rPr>
          <w:b/>
          <w:sz w:val="30"/>
        </w:rPr>
        <w:t>As enrollment declined, where did staffing and personnel costs increase, why were those positions needed, and what measurable benefit did students receive</w:t>
      </w:r>
    </w:p>
    <w:p>
      <w:r>
        <w:br w:type="page"/>
      </w:r>
    </w:p>
    <w:p>
      <w:pPr>
        <w:pStyle w:val="Heading1"/>
      </w:pPr>
      <w:r>
        <w:t>Executive Summary</w:t>
      </w:r>
    </w:p>
    <w:p>
      <w:r>
        <w:rPr>
          <w:b/>
          <w:color w:val="D97828"/>
        </w:rPr>
        <w:t xml:space="preserve">Main conclusion  </w:t>
      </w:r>
      <w:r>
        <w:t>Public records show that Upper Perkiomen School District enrollment fell while professional staffing increased. The available evidence does not establish that the district has too many classroom teachers. It does support a focused review of administrative, coordinated services, other professional positions, staffing costs, class sections, and the results students received.</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6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Measure</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223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District enrollment</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3,396</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3,062</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-334  -9.8%</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Classroom teachers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203</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214</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+11  +5.4%</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All professional staff</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248</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281</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  +13.3%</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Administrators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10</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16</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+6  +60.0%</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Coordinated services staff</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38</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  +31.0%</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Other professionals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7</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13</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+6  +85.7%</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Students per classroom teacher</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16.7</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14.3</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-2.4</w:t>
            </w:r>
          </w:p>
        </w:tc>
      </w:tr>
    </w:tbl>
    <w:p>
      <w:pPr>
        <w:spacing w:after="20"/>
      </w:pPr>
    </w:p>
    <w:p>
      <w:pPr>
        <w:pStyle w:val="Heading2"/>
      </w:pPr>
      <w:r>
        <w:t>What the Evidence Supports</w:t>
      </w:r>
    </w:p>
    <w:p>
      <w:pPr>
        <w:pStyle w:val="ListBullet"/>
        <w:ind w:left="317" w:hanging="216"/>
      </w:pPr>
      <w:r>
        <w:t>Enrollment fell by 334 students from the 2019-20 peak to 2025-26. Most of that decline occurred at the middle school and the fourth and fifth grade center.</w:t>
      </w:r>
    </w:p>
    <w:p>
      <w:pPr>
        <w:pStyle w:val="ListBullet"/>
        <w:ind w:left="317" w:hanging="216"/>
      </w:pPr>
      <w:r>
        <w:t>Classroom teachers increased by 11, but the larger proportional increases occurred in administration, coordinated services, and other professional categories.</w:t>
      </w:r>
    </w:p>
    <w:p>
      <w:pPr>
        <w:pStyle w:val="ListBullet"/>
        <w:ind w:left="317" w:hanging="216"/>
      </w:pPr>
      <w:r>
        <w:t>Upper Perkiomen had 14.3 students per classroom teacher in 2025-26. That was higher than the Montgomery County median of about 13.3, so the district did not appear classroom-teacher-heavy by this measure.</w:t>
      </w:r>
    </w:p>
    <w:p>
      <w:pPr>
        <w:pStyle w:val="ListBullet"/>
        <w:ind w:left="317" w:hanging="216"/>
      </w:pPr>
      <w:r>
        <w:t>PDE projects enrollment near 2,892 by 2034-35. If realized, that would be about 500 students below the 2019-20 peak.</w:t>
      </w:r>
    </w:p>
    <w:p>
      <w:pPr>
        <w:pStyle w:val="ListBullet"/>
        <w:ind w:left="317" w:hanging="216"/>
      </w:pPr>
      <w:r>
        <w:t>Some available student results are strong, including 2024-25 growth measures at the fourth and fifth grade center. Other indicators, including high school mathematics growth and regular attendance, require further review.</w:t>
      </w:r>
    </w:p>
    <w:p>
      <w:pPr>
        <w:pStyle w:val="Heading2"/>
      </w:pPr>
      <w:r>
        <w:t>Recommended Next Step</w:t>
      </w:r>
    </w:p>
    <w:p>
      <w:r>
        <w:t>Begin with four separate Right-to-Know requests: position control, class sections, personnel costs, and the reconciliation of conflicting PDE staffing counts. Those records should show what changed, where the positions sit, how much they cost, and whether staffing corresponds to actual student demand and documented outcomes.</w:t>
      </w:r>
    </w:p>
    <w:p>
      <w:pPr>
        <w:pStyle w:val="Heading1"/>
      </w:pPr>
      <w:r>
        <w:t>Enrollment Trends</w:t>
      </w:r>
    </w:p>
    <w:p>
      <w:pPr>
        <w:keepNext/>
      </w:pPr>
      <w:r>
        <w:t>Upper Perkiomen enrollment was relatively stable through 2019-20, then declined. The district enrolled 3,062 students in 2025-26, 334 fewer than the 2019-20 peak. The decline is larger than the roughly 200 students initially suspected and equals 9.8 percent of peak enrollment.</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School year</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Enrollment</w:t>
            </w:r>
          </w:p>
        </w:tc>
        <w:tc>
          <w:tcPr>
            <w:tcW w:type="dxa" w:w="36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 from prior year</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2016-17</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3,341</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2017-18</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3,360</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+19</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2018-19</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3,363</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2019-20</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3,396</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+33</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2020-21</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3,230</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-166</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2021-22</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3,227</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2022-23</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3,198</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-29</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2023-24</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3,183</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-15</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2024-25</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3,084</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-99</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2025-26</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3,062</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-22</w:t>
            </w:r>
          </w:p>
        </w:tc>
      </w:tr>
    </w:tbl>
    <w:p>
      <w:pPr>
        <w:spacing w:after="20"/>
      </w:pPr>
    </w:p>
    <w:p>
      <w:pPr>
        <w:pStyle w:val="Heading2"/>
      </w:pPr>
      <w:r>
        <w:t>Change by School</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417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School</w:t>
            </w:r>
          </w:p>
        </w:tc>
        <w:tc>
          <w:tcPr>
            <w:tcW w:type="dxa" w:w="16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6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18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Hereford Elementary</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508</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470</w:t>
            </w:r>
          </w:p>
        </w:tc>
        <w:tc>
          <w:tcPr>
            <w:tcW w:type="dxa" w:w="18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-38</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Marlborough Elementary</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468</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424</w:t>
            </w:r>
          </w:p>
        </w:tc>
        <w:tc>
          <w:tcPr>
            <w:tcW w:type="dxa" w:w="18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-44</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Fourth and Fifth Grade Center</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543</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465</w:t>
            </w:r>
          </w:p>
        </w:tc>
        <w:tc>
          <w:tcPr>
            <w:tcW w:type="dxa" w:w="18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-78</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Middle School</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825</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677</w:t>
            </w:r>
          </w:p>
        </w:tc>
        <w:tc>
          <w:tcPr>
            <w:tcW w:type="dxa" w:w="18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-148</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High School</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1,045</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1,026</w:t>
            </w:r>
          </w:p>
        </w:tc>
        <w:tc>
          <w:tcPr>
            <w:tcW w:type="dxa" w:w="18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-19</w:t>
            </w:r>
          </w:p>
        </w:tc>
      </w:tr>
    </w:tbl>
    <w:p>
      <w:pPr>
        <w:spacing w:after="20"/>
      </w:pPr>
    </w:p>
    <w:p>
      <w:r>
        <w:t>The middle school accounted for 148 of the 334 lost students, about 44 percent of the districtwide decline. Its enrollment fell approximately 18 percent. This concentration makes building-level schedules, course sections, staffing assignments, and space use more informative than districtwide averages alone.</w:t>
      </w:r>
    </w:p>
    <w:p>
      <w:pPr>
        <w:pStyle w:val="Heading2"/>
      </w:pPr>
      <w:r>
        <w:t>Projection and Grade Pipeline</w:t>
      </w:r>
    </w:p>
    <w:p>
      <w:pPr>
        <w:keepLines/>
      </w:pPr>
      <w:r>
        <w:t>PDE projected 3,057 students for 2025-26, only five below the reported actual enrollment of 3,062. The same projection series estimates 2,995 students in 2026-27, 2,920 in 2027-28, 2,899 in 2030-31, and 2,892 in 2034-35. The 2025-26 grade counts also show smaller cohorts in kindergarten through grade eight than in several upper grades. Housing development, migration, private school choices, and birth trends could alter the path, so the district projection model and assumptions should be obtained before treating the forecast as certain.</w:t>
      </w:r>
    </w:p>
    <w:tbl>
      <w:tblPr>
        <w:tblW w:type="auto" w:w="0"/>
        <w:jc w:val="center"/>
        <w:tblLayout w:type="fixed"/>
        <w:tblLook w:firstColumn="1" w:firstRow="1" w:lastColumn="0" w:lastRow="0" w:noHBand="0" w:noVBand="1" w:val="04A0"/>
      </w:tblPr>
      <w:tblGrid>
        <w:gridCol w:w="706"/>
        <w:gridCol w:w="706"/>
        <w:gridCol w:w="706"/>
        <w:gridCol w:w="706"/>
        <w:gridCol w:w="706"/>
        <w:gridCol w:w="706"/>
        <w:gridCol w:w="706"/>
        <w:gridCol w:w="706"/>
        <w:gridCol w:w="706"/>
        <w:gridCol w:w="706"/>
        <w:gridCol w:w="706"/>
        <w:gridCol w:w="706"/>
        <w:gridCol w:w="706"/>
        <w:gridCol w:w="706"/>
      </w:tblGrid>
      <w:tr>
        <w:trPr>
          <w:tblHeader w:val="true"/>
        </w:trPr>
        <w:tc>
          <w:tcPr>
            <w:tcW w:type="dxa" w:w="115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Grade</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K</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1</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2</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3</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4</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5</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6</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7</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8</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9</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10</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11</w:t>
            </w:r>
          </w:p>
        </w:tc>
        <w:tc>
          <w:tcPr>
            <w:tcW w:type="dxa" w:w="63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12</w:t>
            </w:r>
          </w:p>
        </w:tc>
      </w:tr>
      <w:tr>
        <w:tc>
          <w:tcPr>
            <w:tcW w:type="dxa" w:w="11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6"/>
              </w:rPr>
              <w:t>Students</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209</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216</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236</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233</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227</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238</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230</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213</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234</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251</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215</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273</w:t>
            </w:r>
          </w:p>
        </w:tc>
        <w:tc>
          <w:tcPr>
            <w:tcW w:type="dxa" w:w="63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287</w:t>
            </w:r>
          </w:p>
        </w:tc>
      </w:tr>
    </w:tbl>
    <w:p>
      <w:pPr>
        <w:spacing w:after="20"/>
      </w:pPr>
    </w:p>
    <w:p>
      <w:pPr>
        <w:pStyle w:val="Heading1"/>
      </w:pPr>
      <w:r>
        <w:t>Classroom Teacher Staffing</w:t>
      </w:r>
    </w:p>
    <w:p>
      <w:r>
        <w:t>Full-time classroom teacher headcount did not remain exactly flat. It increased from 203 in 2019-20 to 214 in 2025-26 while enrollment fell by 334 students. The number of students per teacher declined from 16.7 to 14.3. This is a staffing ratio, not average class size. It does not show how many students sit in each classroom or whether teachers provide special education, intervention, electives, co-teaching, or other services.</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223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School year</w:t>
            </w:r>
          </w:p>
        </w:tc>
        <w:tc>
          <w:tcPr>
            <w:tcW w:type="dxa" w:w="208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Enrollment</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FT classroom teachers</w:t>
            </w:r>
          </w:p>
        </w:tc>
        <w:tc>
          <w:tcPr>
            <w:tcW w:type="dxa" w:w="25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Students per teacher</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2016-17</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3,341</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202</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16.5</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2017-18</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3,360</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200</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16.8</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2018-19</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3,363</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204</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16.5</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2019-20</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3,396</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203</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16.7</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2020-21</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3,230</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205</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15.8</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2021-22</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3,227</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221</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14.6</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2022-23</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3,198</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212</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15.1</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2023-24</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3,183</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213</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14.9</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2024-25</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3,084</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212</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14.5</w:t>
            </w:r>
          </w:p>
        </w:tc>
      </w:tr>
      <w:tr>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2025-26</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3,062</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214</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14.3</w:t>
            </w:r>
          </w:p>
        </w:tc>
      </w:tr>
    </w:tbl>
    <w:p>
      <w:pPr>
        <w:spacing w:after="20"/>
      </w:pPr>
    </w:p>
    <w:p>
      <w:pPr>
        <w:pStyle w:val="Heading2"/>
      </w:pPr>
      <w:r>
        <w:t>County Context</w:t>
      </w:r>
    </w:p>
    <w:p>
      <w:r>
        <w:t>The 2025-26 Montgomery County median was approximately 13.3 students per classroom teacher. Upper Perkiomen ranked fourth highest among 21 county districts, which means it had more students per teacher than most county districts. On this measure alone, Upper Perkiomen does not appear overstaffed with classroom teachers.</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6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District</w:t>
            </w:r>
          </w:p>
        </w:tc>
        <w:tc>
          <w:tcPr>
            <w:tcW w:type="dxa" w:w="18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Enrollment</w:t>
            </w:r>
          </w:p>
        </w:tc>
        <w:tc>
          <w:tcPr>
            <w:tcW w:type="dxa" w:w="18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Teachers</w:t>
            </w:r>
          </w:p>
        </w:tc>
        <w:tc>
          <w:tcPr>
            <w:tcW w:type="dxa" w:w="244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Students per teacher</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Springfield Township</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2,461</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196</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12.6</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Pottsgrove</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2,893</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227</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12.7</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Pottstown</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3,115</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230</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13.5</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Upper Perkiomen</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3,062</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214</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14.3</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Lower Moreland</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2,561</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173</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14.8</w:t>
            </w:r>
          </w:p>
        </w:tc>
      </w:tr>
    </w:tbl>
    <w:p>
      <w:pPr>
        <w:spacing w:after="20"/>
      </w:pPr>
    </w:p>
    <w:p>
      <w:pPr>
        <w:pStyle w:val="Heading2"/>
      </w:pPr>
      <w:r>
        <w:t>What This Ratio Cannot Answer</w:t>
      </w:r>
    </w:p>
    <w:p>
      <w:pPr>
        <w:pStyle w:val="ListBullet"/>
        <w:ind w:left="317" w:hanging="216"/>
      </w:pPr>
      <w:r>
        <w:t>Actual class size by school, grade, subject, and section</w:t>
      </w:r>
    </w:p>
    <w:p>
      <w:pPr>
        <w:pStyle w:val="ListBullet"/>
        <w:ind w:left="317" w:hanging="216"/>
      </w:pPr>
      <w:r>
        <w:t>Whether a position is full time equivalent or simply counted as one full-time person</w:t>
      </w:r>
    </w:p>
    <w:p>
      <w:pPr>
        <w:pStyle w:val="ListBullet"/>
        <w:ind w:left="317" w:hanging="216"/>
      </w:pPr>
      <w:r>
        <w:t>Whether staffing is concentrated in mandated or high-need services</w:t>
      </w:r>
    </w:p>
    <w:p>
      <w:pPr>
        <w:pStyle w:val="ListBullet"/>
        <w:ind w:left="317" w:hanging="216"/>
      </w:pPr>
      <w:r>
        <w:t>Whether teachers are assigned to unusually small sections, noninstructional duties, or schedule gaps</w:t>
      </w:r>
    </w:p>
    <w:p>
      <w:pPr>
        <w:pStyle w:val="ListBullet"/>
        <w:ind w:left="317" w:hanging="216"/>
      </w:pPr>
      <w:r>
        <w:t>Whether the lower ratio produced measurable academic, attendance, behavioral, or service improvements</w:t>
      </w:r>
    </w:p>
    <w:p>
      <w:pPr>
        <w:pStyle w:val="Heading1"/>
      </w:pPr>
      <w:r>
        <w:t>Professional and Support Staffing</w:t>
      </w:r>
    </w:p>
    <w:p>
      <w:r>
        <w:t>The clearest staffing question is outside the classroom-teacher count. All professional staff increased by 33 positions from 2019-20 to 2025-26. Administrative, coordinated services, and other professional categories grew faster than classroom teaching. PDE categories may overlap or change through reclassification, so position-level records are needed before assigning a cause.</w:t>
      </w:r>
    </w:p>
    <w:tbl>
      <w:tblPr>
        <w:tblW w:type="auto" w:w="0"/>
        <w:jc w:val="center"/>
        <w:tblLayout w:type="fixed"/>
        <w:tblLook w:firstColumn="1" w:firstRow="1" w:lastColumn="0" w:lastRow="0" w:noHBand="0" w:noVBand="1" w:val="04A0"/>
      </w:tblPr>
      <w:tblGrid>
        <w:gridCol w:w="1976"/>
        <w:gridCol w:w="1976"/>
        <w:gridCol w:w="1976"/>
        <w:gridCol w:w="1976"/>
        <w:gridCol w:w="1976"/>
      </w:tblGrid>
      <w:tr>
        <w:trPr>
          <w:tblHeader w:val="true"/>
        </w:trPr>
        <w:tc>
          <w:tcPr>
            <w:tcW w:type="dxa" w:w="331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Professional category</w:t>
            </w:r>
          </w:p>
        </w:tc>
        <w:tc>
          <w:tcPr>
            <w:tcW w:type="dxa" w:w="151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51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144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w:t>
            </w:r>
          </w:p>
        </w:tc>
        <w:tc>
          <w:tcPr>
            <w:tcW w:type="dxa" w:w="18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Percent change</w:t>
            </w:r>
          </w:p>
        </w:tc>
      </w:tr>
      <w:tr>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Classroom teachers</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203</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214</w:t>
            </w:r>
          </w:p>
        </w:tc>
        <w:tc>
          <w:tcPr>
            <w:tcW w:type="dxa" w:w="14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+11</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+5.4%</w:t>
            </w:r>
          </w:p>
        </w:tc>
      </w:tr>
      <w:tr>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Administrators</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10</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16</w:t>
            </w:r>
          </w:p>
        </w:tc>
        <w:tc>
          <w:tcPr>
            <w:tcW w:type="dxa" w:w="14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+6</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+60.0%</w:t>
            </w:r>
          </w:p>
        </w:tc>
      </w:tr>
      <w:tr>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Coordinated services</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29</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38</w:t>
            </w:r>
          </w:p>
        </w:tc>
        <w:tc>
          <w:tcPr>
            <w:tcW w:type="dxa" w:w="14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+31.0%</w:t>
            </w:r>
          </w:p>
        </w:tc>
      </w:tr>
      <w:tr>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Other professionals</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7</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13</w:t>
            </w:r>
          </w:p>
        </w:tc>
        <w:tc>
          <w:tcPr>
            <w:tcW w:type="dxa" w:w="14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+6</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+85.7%</w:t>
            </w:r>
          </w:p>
        </w:tc>
      </w:tr>
      <w:tr>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All professional staff</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248</w:t>
            </w:r>
          </w:p>
        </w:tc>
        <w:tc>
          <w:tcPr>
            <w:tcW w:type="dxa" w:w="15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281</w:t>
            </w:r>
          </w:p>
        </w:tc>
        <w:tc>
          <w:tcPr>
            <w:tcW w:type="dxa" w:w="14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+13.3%</w:t>
            </w:r>
          </w:p>
        </w:tc>
      </w:tr>
    </w:tbl>
    <w:p>
      <w:pPr>
        <w:spacing w:after="20"/>
      </w:pPr>
    </w:p>
    <w:p>
      <w:pPr>
        <w:pStyle w:val="Heading2"/>
      </w:pPr>
      <w:r>
        <w:t>Current Salary and Experience Indicators</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35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Measure</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Upper Perkiomen 2025 26</w:t>
            </w:r>
          </w:p>
        </w:tc>
        <w:tc>
          <w:tcPr>
            <w:tcW w:type="dxa" w:w="324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County comparison</w:t>
            </w:r>
          </w:p>
        </w:tc>
      </w:tr>
      <w:tr>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Average classroom teacher salary</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$93,679.50</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County median about $97,386</w:t>
            </w:r>
          </w:p>
        </w:tc>
      </w:tr>
      <w:tr>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Average administrator salary</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$150,175.81</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County median about $160,187</w:t>
            </w:r>
          </w:p>
        </w:tc>
      </w:tr>
      <w:tr>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Superintendent salary</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$245,813</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No comparison calculated</w:t>
            </w:r>
          </w:p>
        </w:tc>
      </w:tr>
      <w:tr>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Average teacher experience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17.3 years</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r>
          </w:p>
        </w:tc>
      </w:tr>
      <w:tr>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Average service in district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14.0 years</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r>
          </w:p>
        </w:tc>
      </w:tr>
    </w:tbl>
    <w:p>
      <w:pPr>
        <w:spacing w:after="20"/>
      </w:pPr>
    </w:p>
    <w:p>
      <w:r>
        <w:t>Average salaries do not appear unusually high relative to the county medians cited above. The more useful financial measure is total salary and benefit cost per student, separated by role, function, building, and funding source. The PDE averages cover full-time staff and may exclude lower salaries under the reporting rules.</w:t>
      </w:r>
    </w:p>
    <w:p>
      <w:pPr>
        <w:pStyle w:val="Heading2"/>
      </w:pPr>
      <w:r>
        <w:t>Support Staff Shift</w:t>
      </w:r>
    </w:p>
    <w:p>
      <w:r>
        <w:t>Reported support staffing moved differently. The total declined from 184 full-time staff in 2019-20 to 140 full-time and 35 part-time staff in 2025-26, or 175 people combined. Instructional aides increased, while local education agency support and other categories declined. Library and media support moved from five full-time staff to zero in the aggregate report. The change may reflect outsourcing, reclassification, vacancies, or service redesign.</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417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Support category</w:t>
            </w:r>
          </w:p>
        </w:tc>
        <w:tc>
          <w:tcPr>
            <w:tcW w:type="dxa" w:w="25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295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Instructional aides</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59 FT</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67 FT and 14 PT</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School administration support</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21 FT</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 FT</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Library and media support</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5 FT</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0</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Local education agency support</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25 FT</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11 FT</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All other support</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74 FT</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42 FT and 21 PT</w:t>
            </w:r>
          </w:p>
        </w:tc>
      </w:tr>
      <w:tr>
        <w:tc>
          <w:tcPr>
            <w:tcW w:type="dxa" w:w="41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Total</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184 people</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175 people</w:t>
            </w:r>
          </w:p>
        </w:tc>
      </w:tr>
    </w:tbl>
    <w:p>
      <w:pPr>
        <w:spacing w:after="20"/>
      </w:pPr>
    </w:p>
    <w:p>
      <w:pPr>
        <w:pStyle w:val="Heading1"/>
      </w:pPr>
      <w:r>
        <w:t>Other Findings Worth Testing</w:t>
      </w:r>
    </w:p>
    <w:p>
      <w:pPr>
        <w:pStyle w:val="Heading2"/>
      </w:pPr>
      <w:r>
        <w:t>Retention and Vacancies</w:t>
      </w:r>
    </w:p>
    <w:p>
      <w:r>
        <w:t>From 2024-25 to 2025-26, 93 percent of Upper Perkiomen classroom teachers remained in the same district and role. Another 1.4 percent stayed in the district but left classroom teaching, 1.4 percent moved to classroom roles in another local education agency, 0.9 percent moved to nonclassroom roles elsewhere, and 3.3 percent exited Pennsylvania public education. The statewide same-district classroom retention rate was 89.9 percent, and the county median was about 93.4 percent. These figures do not indicate a broad teacher-retention crisis. The district reported one professional vacancy, classified as other certificated rather than classroom teaching.</w:t>
      </w:r>
    </w:p>
    <w:p>
      <w:pPr>
        <w:pStyle w:val="Heading2"/>
      </w:pPr>
      <w:r>
        <w:t>Charter Enrollment</w:t>
      </w:r>
    </w:p>
    <w:p>
      <w:pPr>
        <w:keepLines/>
      </w:pPr>
      <w:r>
        <w:t>In 2025-26, 175 resident students attended charter schools. That equals about 5.4 percent of the combined known district and charter public enrollment of 3,237 students. Cyber and statewide charter choices account for much of the total. The most useful next analysis is a ten-year trend paired with tuition payments, special education status in aggregate, and the number of students returning to district schools.</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691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Charter school</w:t>
            </w:r>
          </w:p>
        </w:tc>
        <w:tc>
          <w:tcPr>
            <w:tcW w:type="dxa" w:w="273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Resident students</w:t>
            </w:r>
          </w:p>
        </w:tc>
      </w:tr>
      <w:tr>
        <w:tc>
          <w:tcPr>
            <w:tcW w:type="dxa" w:w="69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Commonwealth Charter Academy</w:t>
            </w:r>
          </w:p>
        </w:tc>
        <w:tc>
          <w:tcPr>
            <w:tcW w:type="dxa" w:w="27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69</w:t>
            </w:r>
          </w:p>
        </w:tc>
      </w:tr>
      <w:tr>
        <w:tc>
          <w:tcPr>
            <w:tcW w:type="dxa" w:w="69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Pennsylvania Cyber Charter School</w:t>
            </w:r>
          </w:p>
        </w:tc>
        <w:tc>
          <w:tcPr>
            <w:tcW w:type="dxa" w:w="27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24</w:t>
            </w:r>
          </w:p>
        </w:tc>
      </w:tr>
      <w:tr>
        <w:tc>
          <w:tcPr>
            <w:tcW w:type="dxa" w:w="69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Pennsylvania Virtual Charter School</w:t>
            </w:r>
          </w:p>
        </w:tc>
        <w:tc>
          <w:tcPr>
            <w:tcW w:type="dxa" w:w="27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w:t>
            </w:r>
          </w:p>
        </w:tc>
      </w:tr>
      <w:tr>
        <w:tc>
          <w:tcPr>
            <w:tcW w:type="dxa" w:w="69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Pennsylvania Leadership Charter School</w:t>
            </w:r>
          </w:p>
        </w:tc>
        <w:tc>
          <w:tcPr>
            <w:tcW w:type="dxa" w:w="27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13</w:t>
            </w:r>
          </w:p>
        </w:tc>
      </w:tr>
      <w:tr>
        <w:tc>
          <w:tcPr>
            <w:tcW w:type="dxa" w:w="69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Seven Generations Charter School</w:t>
            </w:r>
          </w:p>
        </w:tc>
        <w:tc>
          <w:tcPr>
            <w:tcW w:type="dxa" w:w="27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11</w:t>
            </w:r>
          </w:p>
        </w:tc>
      </w:tr>
      <w:tr>
        <w:tc>
          <w:tcPr>
            <w:tcW w:type="dxa" w:w="69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Reach Cyber Charter School</w:t>
            </w:r>
          </w:p>
        </w:tc>
        <w:tc>
          <w:tcPr>
            <w:tcW w:type="dxa" w:w="27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w:t>
            </w:r>
          </w:p>
        </w:tc>
      </w:tr>
      <w:tr>
        <w:tc>
          <w:tcPr>
            <w:tcW w:type="dxa" w:w="69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Other charter schools</w:t>
            </w:r>
          </w:p>
        </w:tc>
        <w:tc>
          <w:tcPr>
            <w:tcW w:type="dxa" w:w="27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29</w:t>
            </w:r>
          </w:p>
        </w:tc>
      </w:tr>
      <w:tr>
        <w:tc>
          <w:tcPr>
            <w:tcW w:type="dxa" w:w="69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Total</w:t>
            </w:r>
          </w:p>
        </w:tc>
        <w:tc>
          <w:tcPr>
            <w:tcW w:type="dxa" w:w="27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175</w:t>
            </w:r>
          </w:p>
        </w:tc>
      </w:tr>
    </w:tbl>
    <w:p>
      <w:pPr>
        <w:spacing w:after="20"/>
      </w:pPr>
    </w:p>
    <w:p>
      <w:pPr>
        <w:pStyle w:val="Heading2"/>
      </w:pPr>
      <w:r>
        <w:t>Student Outcomes</w:t>
      </w:r>
    </w:p>
    <w:p>
      <w:r>
        <w:t>The fourth and fifth grade center posted stronger-than-statewide proficiency in 2024-25. English language arts proficiency was 55.4 percent compared with 49.9 percent statewide, and mathematics proficiency was 61.6 percent compared with 41.7 percent statewide. Reported growth scores were 92 in English language arts and 100 in mathematics, above a standard of 70. These outcomes may support some staffing investments, but they do not establish which positions caused the results.</w:t>
      </w:r>
    </w:p>
    <w:p>
      <w:r>
        <w:t>At the high school, mathematics growth did not meet the performance standard, and regular attendance was below the performance standard. The project should collect several years of results across all buildings and compare them with staffing changes. A one-year result is useful context, not a causal test.</w:t>
      </w:r>
    </w:p>
    <w:p>
      <w:pPr>
        <w:pStyle w:val="Heading2"/>
      </w:pPr>
      <w:r>
        <w:t>Reporting Anomalies</w:t>
      </w:r>
    </w:p>
    <w:p>
      <w:pPr>
        <w:pStyle w:val="ListBullet"/>
        <w:ind w:left="317" w:hanging="216"/>
      </w:pPr>
      <w:r>
        <w:t>The 2024-25 PDE professional staff summary reports one Upper Perkiomen administrator, between reports of 15 administrators in the prior year and 16 in the following year. This likely reflects a reporting or classification problem, but the underlying records should confirm it.</w:t>
      </w:r>
    </w:p>
    <w:p>
      <w:pPr>
        <w:pStyle w:val="ListBullet"/>
        <w:ind w:left="317" w:hanging="216"/>
      </w:pPr>
      <w:r>
        <w:t>The 2025-26 Act 35 file lists 253 budgeted professional positions and one vacancy at budget adoption, while the later professional staff summary lists 281 full-time professional people. The 28-person difference does not prove unbudgeted hiring because the reports use different definitions and dates. The district submission, validation, and correction records should explain the difference.</w:t>
      </w:r>
    </w:p>
    <w:p>
      <w:pPr>
        <w:pStyle w:val="Heading1"/>
      </w:pPr>
      <w:r>
        <w:t>Questions for the Accountability Review</w:t>
      </w:r>
    </w:p>
    <w:p>
      <w:r>
        <w:t>The next phase should test whether staffing changes reflect necessary services, reporting changes, temporary funding, inefficient deployment, or a combination. The following questions connect the public findings to records that can answer them.</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295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Question</w:t>
            </w:r>
          </w:p>
        </w:tc>
        <w:tc>
          <w:tcPr>
            <w:tcW w:type="dxa" w:w="35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Why it matters</w:t>
            </w:r>
          </w:p>
        </w:tc>
        <w:tc>
          <w:tcPr>
            <w:tcW w:type="dxa" w:w="324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Record needed</w:t>
            </w:r>
          </w:p>
        </w:tc>
      </w:tr>
      <w:tr>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Where were the 33 added professional positions placed</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District totals can hide growth in specific buildings or departments</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Position control reports and employee position rosters</w:t>
            </w:r>
          </w:p>
        </w:tc>
      </w:tr>
      <w:tr>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Why did administration coordinated services and other professional staffing grow</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These categories grew faster than classroom teaching</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Job descriptions board approvals organization charts and funding sources</w:t>
            </w:r>
          </w:p>
        </w:tc>
      </w:tr>
      <w:tr>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Are there very small or unusually large class sections</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Students per teacher is not class size</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Master schedules section enrollments and teacher assignments</w:t>
            </w:r>
          </w:p>
        </w:tc>
      </w:tr>
      <w:tr>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What is the total personnel cost per student</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Average salary does not capture headcount benefits or contracted labor</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Payroll benefit position budget and vendor expenditure reports</w:t>
            </w:r>
          </w:p>
        </w:tc>
      </w:tr>
      <w:tr>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Did temporary grants create recurring local costs</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Expired federal or state funding may shift positions to local taxes</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Grant position reports and General Fund transfers</w:t>
            </w:r>
          </w:p>
        </w:tc>
      </w:tr>
      <w:tr>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Did outsourcing replace reported support positions</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Support headcount fell while services may have moved to vendors</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Contract registers executed contracts and vendor payments</w:t>
            </w:r>
          </w:p>
        </w:tc>
      </w:tr>
      <w:tr>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How do staffing changes connect to student outcomes</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The public record contains both strong and weak indicators</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Multi-year achievement growth attendance discipline and service metrics</w:t>
            </w:r>
          </w:p>
        </w:tc>
      </w:tr>
      <w:tr>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Can buildings adapt to projected enrollment</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Further decline may create unused capacity or inefficient schedules</w:t>
            </w:r>
          </w:p>
        </w:tc>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Capacity utilization demographic and facilities studies</w:t>
            </w:r>
          </w:p>
        </w:tc>
      </w:tr>
    </w:tbl>
    <w:p>
      <w:pPr>
        <w:spacing w:after="20"/>
      </w:pPr>
    </w:p>
    <w:p>
      <w:pPr>
        <w:pStyle w:val="Heading2"/>
      </w:pPr>
      <w:r>
        <w:t>Analyses Forge Change Can Develop</w:t>
      </w:r>
    </w:p>
    <w:p>
      <w:pPr>
        <w:pStyle w:val="ListBullet"/>
        <w:ind w:left="317" w:hanging="216"/>
      </w:pPr>
      <w:r>
        <w:t>A district accountability profile showing enrollment, staffing, personnel cost per student, outcomes, and building utilization over time</w:t>
      </w:r>
    </w:p>
    <w:p>
      <w:pPr>
        <w:pStyle w:val="ListBullet"/>
        <w:ind w:left="317" w:hanging="216"/>
      </w:pPr>
      <w:r>
        <w:t>A position growth map that identifies when each position was added, where it sits, what funded it, and whether it remains active</w:t>
      </w:r>
    </w:p>
    <w:p>
      <w:pPr>
        <w:pStyle w:val="ListBullet"/>
        <w:ind w:left="317" w:hanging="216"/>
      </w:pPr>
      <w:r>
        <w:t>A class section dashboard showing enrollment distributions, small sections, large sections, teacher assignments, and changes by building</w:t>
      </w:r>
    </w:p>
    <w:p>
      <w:pPr>
        <w:pStyle w:val="ListBullet"/>
        <w:ind w:left="317" w:hanging="216"/>
      </w:pPr>
      <w:r>
        <w:t>A total compensation model that separates classroom instruction, administration, student services, support, contracted services, and grant-funded positions</w:t>
      </w:r>
    </w:p>
    <w:p>
      <w:pPr>
        <w:pStyle w:val="ListBullet"/>
        <w:ind w:left="317" w:hanging="216"/>
      </w:pPr>
      <w:r>
        <w:t>A charter impact analysis pairing enrollment loss with annual tuition, transportation, and special education costs</w:t>
      </w:r>
    </w:p>
    <w:p>
      <w:pPr>
        <w:pStyle w:val="ListBullet"/>
        <w:ind w:left="317" w:hanging="216"/>
      </w:pPr>
      <w:r>
        <w:t>A facilities scenario model using projected enrollment, building capacity, room utilization, and annual operating costs</w:t>
      </w:r>
    </w:p>
    <w:p>
      <w:pPr>
        <w:pStyle w:val="Heading2"/>
      </w:pPr>
      <w:r>
        <w:t>Interpretive Guardrails</w:t>
      </w:r>
    </w:p>
    <w:p>
      <w:pPr>
        <w:pStyle w:val="ListBullet"/>
        <w:ind w:left="317" w:hanging="216"/>
      </w:pPr>
      <w:r>
        <w:t>Do not describe the district as having too many teachers based only on the current ratio. Upper Perkiomen has more students per teacher than most Montgomery County districts.</w:t>
      </w:r>
    </w:p>
    <w:p>
      <w:pPr>
        <w:pStyle w:val="ListBullet"/>
        <w:ind w:left="317" w:hanging="216"/>
      </w:pPr>
      <w:r>
        <w:t>Treat full-time staff counts as headcount unless the source expressly identifies full-time equivalents.</w:t>
      </w:r>
    </w:p>
    <w:p>
      <w:pPr>
        <w:pStyle w:val="ListBullet"/>
        <w:ind w:left="317" w:hanging="216"/>
      </w:pPr>
      <w:r>
        <w:t>Check for overlapping or reclassified PDE personnel categories before adding subcategories.</w:t>
      </w:r>
    </w:p>
    <w:p>
      <w:pPr>
        <w:pStyle w:val="ListBullet"/>
        <w:ind w:left="317" w:hanging="216"/>
      </w:pPr>
      <w:r>
        <w:t>Separate observed association from causation. A staffing increase and an outcome change occurring together do not prove one caused the other.</w:t>
      </w:r>
    </w:p>
    <w:p>
      <w:pPr>
        <w:pStyle w:val="ListBullet"/>
        <w:ind w:left="317" w:hanging="216"/>
      </w:pPr>
      <w:r>
        <w:t>Account for special education mandates, intervention services, electives, co-teaching, collective bargaining rules, and building schedules before judging efficiency.</w:t>
      </w:r>
    </w:p>
    <w:p>
      <w:pPr>
        <w:pStyle w:val="Heading1"/>
      </w:pPr>
      <w:r>
        <w:t>Right to Know Action Plan</w:t>
      </w:r>
    </w:p>
    <w:p>
      <w:r>
        <w:t>Submit the requests separately so each has a defined subject, date range, and set of existing records. Ask for native electronic files, including Excel or CSV, when maintained. Avoid questions asking the district to explain or create a new analysis. Employee names, student names, personal contact information, and identification numbers are not needed for this project.</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93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Priority</w:t>
            </w:r>
          </w:p>
        </w:tc>
        <w:tc>
          <w:tcPr>
            <w:tcW w:type="dxa" w:w="331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Request</w:t>
            </w:r>
          </w:p>
        </w:tc>
        <w:tc>
          <w:tcPr>
            <w:tcW w:type="dxa" w:w="54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Decision it supports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1</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Position control</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Where staffing grew and how positions were funded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Class sections</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Whether staffing matches actual student loads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3</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Personnel costs</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Total cost by role function building and fund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4</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PDE reconciliation</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Whether public staffing counts are comparable and accurate</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5</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Charter enrollment and tuition</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Enrollment leakage and fiscal effect</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6</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Special education</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Mandated service demand staffing and placements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7</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Grant funded positions</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Temporary funding and recurring local obligations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8</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Contracts and vendors</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Outsourcing and costs outside employee headcount</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9</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Enrollment movement and forecasts</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Drivers of decline and future staffing need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10</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Facilities and capacity</w:t>
            </w:r>
          </w:p>
        </w:tc>
        <w:tc>
          <w:tcPr>
            <w:tcW w:type="dxa" w:w="54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Building use and long-term cost options</w:t>
            </w:r>
          </w:p>
        </w:tc>
      </w:tr>
    </w:tbl>
    <w:p>
      <w:pPr>
        <w:spacing w:after="20"/>
      </w:pPr>
    </w:p>
    <w:p>
      <w:pPr>
        <w:pStyle w:val="Heading2"/>
      </w:pPr>
      <w:r>
        <w:t>Recommended Sequence</w:t>
      </w:r>
    </w:p>
    <w:p>
      <w:pPr>
        <w:pStyle w:val="ListNumber"/>
        <w:ind w:left="403" w:hanging="259"/>
      </w:pPr>
      <w:r>
        <w:t>Submit the position-control request.</w:t>
      </w:r>
    </w:p>
    <w:p>
      <w:pPr>
        <w:pStyle w:val="ListNumber"/>
        <w:ind w:left="403" w:hanging="259"/>
      </w:pPr>
      <w:r>
        <w:t>Submit the class-section request.</w:t>
      </w:r>
    </w:p>
    <w:p>
      <w:pPr>
        <w:pStyle w:val="ListNumber"/>
        <w:ind w:left="403" w:hanging="259"/>
      </w:pPr>
      <w:r>
        <w:t>Submit the personnel-cost request.</w:t>
      </w:r>
    </w:p>
    <w:p>
      <w:pPr>
        <w:pStyle w:val="ListNumber"/>
        <w:ind w:left="403" w:hanging="259"/>
      </w:pPr>
      <w:r>
        <w:t>Submit the PDE reconciliation request.</w:t>
      </w:r>
    </w:p>
    <w:p>
      <w:pPr>
        <w:pStyle w:val="ListNumber"/>
        <w:ind w:left="403" w:hanging="259"/>
      </w:pPr>
      <w:r>
        <w:t>Compare staffing changes with several years of student performance, attendance, and service outcomes.</w:t>
      </w:r>
    </w:p>
    <w:p>
      <w:pPr>
        <w:pStyle w:val="ListNumber"/>
        <w:ind w:left="403" w:hanging="259"/>
      </w:pPr>
      <w:r>
        <w:t>Submit the charter and special education requests.</w:t>
      </w:r>
    </w:p>
    <w:p>
      <w:pPr>
        <w:pStyle w:val="ListNumber"/>
        <w:ind w:left="403" w:hanging="259"/>
      </w:pPr>
      <w:r>
        <w:t>Submit the grants, contracts, enrollment, and facilities requests.</w:t>
      </w:r>
    </w:p>
    <w:p>
      <w:pPr>
        <w:pStyle w:val="ListNumber"/>
        <w:ind w:left="403" w:hanging="259"/>
      </w:pPr>
      <w:r>
        <w:t>Combine the public and obtained records into an Upper Perkiomen accountability profile.</w:t>
      </w:r>
    </w:p>
    <w:p>
      <w:pPr>
        <w:pStyle w:val="Heading2"/>
      </w:pPr>
      <w:r>
        <w:t>Public Records to Collect Without a Request</w:t>
      </w:r>
    </w:p>
    <w:p>
      <w:r>
        <w:t>Continue downloading public PDE enrollment, projections, professional personnel, support personnel, retention, vacancy, and Future Ready PA files. Also collect district budgets, annual financial reports, audits, collective bargaining agreements, administrator contracts, board agendas and minutes, organization charts, comprehensive plans, and available facilities studies. Public copies should be archived with the date accessed because reports can be replaced or corrected.</w:t>
      </w:r>
    </w:p>
    <w:p>
      <w:pPr>
        <w:pStyle w:val="Heading1"/>
      </w:pPr>
      <w:r>
        <w:t>Copy Ready Right to Know Requests</w:t>
      </w:r>
    </w:p>
    <w:p>
      <w:r>
        <w:t>Each request below is designed to seek existing records rather than answers to questions. Add the requester name, address, preferred email, and submission date required by the district form. The Pennsylvania Office of Open Records provides the statewide standard request form and guidance.</w:t>
      </w:r>
    </w:p>
    <w:p>
      <w:pPr>
        <w:pStyle w:val="Heading2"/>
        <w:keepNext/>
      </w:pPr>
      <w:r>
        <w:t>Request One Position Control</w:t>
      </w:r>
    </w:p>
    <w:p>
      <w:r>
        <w:rPr>
          <w:b/>
          <w:color w:val="D97828"/>
        </w:rPr>
        <w:t xml:space="preserve">Purpose  </w:t>
      </w:r>
      <w:r>
        <w:t>Identify every professional position, its location, status, funding, and approval history.</w:t>
      </w:r>
    </w:p>
    <w:p>
      <w:pPr>
        <w:spacing w:before="60" w:after="200"/>
        <w:ind w:left="360" w:right="216"/>
      </w:pPr>
      <w:r>
        <w:t>Pursuant to the Pennsylvania Right-to-Know Law, I request electronic copies of all existing position-control reports, approved staffing-complement reports, employee-position rosters, and full-time-equivalent staffing reports for the 2019-20 through 2025-26 school years.</w:t>
        <w:br/>
        <w:br/>
        <w:t>This request seeks records containing, where maintained: position number, position title, PDE personnel category, department, building or work location, FTE, filled or vacant status, funding source, date created or eliminated, and board approval date.</w:t>
        <w:br/>
        <w:br/>
        <w:t>I also request the current and 2019-20 administrative organization charts; job descriptions for positions classified as administrator, coordinated services, or other professional; and existing annual reports of position additions, eliminations, or reclassifications.</w:t>
        <w:br/>
        <w:br/>
        <w:t>Employee names, personal contact information, and employee identification numbers are not requested. Please provide records in their existing electronic format, including Excel or CSV where available.</w:t>
      </w:r>
    </w:p>
    <w:p>
      <w:pPr>
        <w:pStyle w:val="Heading2"/>
        <w:keepNext/>
      </w:pPr>
      <w:r>
        <w:t>Request Two Class Sections</w:t>
      </w:r>
    </w:p>
    <w:p>
      <w:r>
        <w:rPr>
          <w:b/>
          <w:color w:val="D97828"/>
        </w:rPr>
        <w:t xml:space="preserve">Purpose  </w:t>
      </w:r>
      <w:r>
        <w:t>Measure actual student loads and teacher deployment by school and course.</w:t>
      </w:r>
    </w:p>
    <w:p>
      <w:pPr>
        <w:spacing w:before="60" w:after="200"/>
        <w:ind w:left="360" w:right="216"/>
      </w:pPr>
      <w:r>
        <w:t>Pursuant to the Pennsylvania Right-to-Know Law, I request electronic copies of existing master schedules, class-section enrollment reports, teacher assignment reports, and class-size reports for the 2019-20, 2022-23, and 2025-26 school years.</w:t>
        <w:br/>
        <w:br/>
        <w:t>For each record, please include, where maintained: school, grade or course, section identifier, section enrollment, assigned teacher position, teacher FTE, co-teacher, instructional aide, and special education or intervention designation. For enrollment snapshots, please provide the report closest to October 1 of each requested school year.</w:t>
        <w:br/>
        <w:br/>
        <w:t>Student names and student identification numbers are not requested. Please provide records in their existing electronic format, including Excel or CSV where available.</w:t>
      </w:r>
    </w:p>
    <w:p>
      <w:pPr>
        <w:pStyle w:val="Heading2"/>
        <w:keepNext/>
      </w:pPr>
      <w:r>
        <w:t>Request Three Personnel Costs</w:t>
      </w:r>
    </w:p>
    <w:p>
      <w:r>
        <w:rPr>
          <w:b/>
          <w:color w:val="D97828"/>
        </w:rPr>
        <w:t xml:space="preserve">Purpose  </w:t>
      </w:r>
      <w:r>
        <w:t>Calculate total salary and benefit cost by role, building, function, and funding source.</w:t>
      </w:r>
    </w:p>
    <w:p>
      <w:pPr>
        <w:spacing w:before="60" w:after="200"/>
        <w:ind w:left="360" w:right="216"/>
      </w:pPr>
      <w:r>
        <w:t>Pursuant to the Pennsylvania Right-to-Know Law, I request electronic copies of existing annual payroll budget reports, salary and benefit expenditure reports, position budget reports, and financial reports for fiscal years 2019-20 through 2025-26.</w:t>
        <w:br/>
        <w:br/>
        <w:t>Please include, where maintained, budgeted and actual costs by fund, PDE function, object, department, building, bargaining unit, position title, and personnel classification, including administrators, classroom teachers, coordinated services staff, other professional staff, and support staff.</w:t>
        <w:br/>
        <w:br/>
        <w:t>Please provide records in their existing electronic format, including Excel or CSV where available. Personal contact information, employee identification numbers, banking information, and tax information are not requested.</w:t>
      </w:r>
    </w:p>
    <w:p>
      <w:pPr>
        <w:pStyle w:val="Heading2"/>
        <w:keepNext/>
      </w:pPr>
      <w:r>
        <w:t>Request Four PDE Staffing Reconciliation</w:t>
      </w:r>
    </w:p>
    <w:p>
      <w:r>
        <w:rPr>
          <w:b/>
          <w:color w:val="D97828"/>
        </w:rPr>
        <w:t xml:space="preserve">Purpose  </w:t>
      </w:r>
      <w:r>
        <w:t>Resolve the apparent differences among district submissions and PDE reports.</w:t>
      </w:r>
    </w:p>
    <w:p>
      <w:pPr>
        <w:spacing w:before="60" w:after="200"/>
        <w:ind w:left="360" w:right="216"/>
      </w:pPr>
      <w:r>
        <w:t>Pursuant to the Pennsylvania Right-to-Know Law, I request electronic copies of the district's PIMS Professional Personnel submissions and Act 35 staffing-complement submissions for the 2024-25 and 2025-26 school years, together with existing validation reports, error reports, certification records, correction records, resubmission records, and correspondence concerning those submissions.</w:t>
        <w:br/>
        <w:br/>
        <w:t>I also request existing records or correspondence concerning the 2024-25 professional staff summary count of one administrator, the 2025-26 Act 35 count of 253 budgeted professional positions, and the 2025-26 professional staff summary count of 281 full-time professional staff.</w:t>
        <w:br/>
        <w:br/>
        <w:t>This request seeks existing records and does not ask the district to create a new reconciliation or explanation. Please provide records in their existing electronic format.</w:t>
      </w:r>
    </w:p>
    <w:p>
      <w:pPr>
        <w:pStyle w:val="Heading2"/>
        <w:keepNext/>
      </w:pPr>
      <w:r>
        <w:t>Request Five Charter Enrollment and Tuition</w:t>
      </w:r>
    </w:p>
    <w:p>
      <w:r>
        <w:rPr>
          <w:b/>
          <w:color w:val="D97828"/>
        </w:rPr>
        <w:t xml:space="preserve">Purpose  </w:t>
      </w:r>
      <w:r>
        <w:t>Measure charter participation and annual district cost.</w:t>
      </w:r>
    </w:p>
    <w:p>
      <w:pPr>
        <w:spacing w:before="60" w:after="200"/>
        <w:ind w:left="360" w:right="216"/>
      </w:pPr>
      <w:r>
        <w:t>Pursuant to the Pennsylvania Right-to-Know Law, I request electronic copies of existing annual charter-school enrollment and tuition-payment reports for fiscal years 2019-20 through 2025-26.</w:t>
        <w:br/>
        <w:br/>
        <w:t>Please include, where maintained: charter school, aggregate resident-student count, regular education tuition, special education tuition, transportation cost, adjustments or refunds, and total payments. I also request existing aggregate reports concerning students who returned from or withdrew to charter schools, including exit or return survey summaries if maintained.</w:t>
        <w:br/>
        <w:br/>
        <w:t>Student names and identification numbers are not requested. Please provide records in their existing electronic format, including Excel or CSV where available.</w:t>
      </w:r>
    </w:p>
    <w:p>
      <w:pPr>
        <w:pStyle w:val="Heading2"/>
        <w:keepNext/>
      </w:pPr>
      <w:r>
        <w:t>Request Six Special Education</w:t>
      </w:r>
    </w:p>
    <w:p>
      <w:r>
        <w:rPr>
          <w:b/>
          <w:color w:val="D97828"/>
        </w:rPr>
        <w:t xml:space="preserve">Purpose  </w:t>
      </w:r>
      <w:r>
        <w:t>Separate mandated service needs from discretionary staffing growth.</w:t>
      </w:r>
    </w:p>
    <w:p>
      <w:pPr>
        <w:spacing w:before="60" w:after="200"/>
        <w:ind w:left="360" w:right="216"/>
      </w:pPr>
      <w:r>
        <w:t>Pursuant to the Pennsylvania Right-to-Know Law, I request electronic copies of existing annual special education enrollment, staffing, caseload, placement, and expenditure reports for the 2019-20 through 2025-26 school years.</w:t>
        <w:br/>
        <w:br/>
        <w:t>Please include, where maintained: aggregate students by disability category and placement, in-district and out-of-district placements, teacher and aide FTE, related-service and support positions, caseloads, contracted providers, tuition, transportation, and total expenditures.</w:t>
        <w:br/>
        <w:br/>
        <w:t>Student names, dates of birth, addresses, identification numbers, individualized education programs, and other personally identifiable student records are not requested. Please provide records in their existing electronic format.</w:t>
      </w:r>
    </w:p>
    <w:p>
      <w:pPr>
        <w:pStyle w:val="Heading2"/>
        <w:keepNext/>
      </w:pPr>
      <w:r>
        <w:t>Request Seven Grant Funded Positions</w:t>
      </w:r>
    </w:p>
    <w:p>
      <w:r>
        <w:rPr>
          <w:b/>
          <w:color w:val="D97828"/>
        </w:rPr>
        <w:t xml:space="preserve">Purpose  </w:t>
      </w:r>
      <w:r>
        <w:t>Identify positions created with temporary funds and later shifted to local funding.</w:t>
      </w:r>
    </w:p>
    <w:p>
      <w:pPr>
        <w:spacing w:before="60" w:after="200"/>
        <w:ind w:left="360" w:right="216"/>
      </w:pPr>
      <w:r>
        <w:t>Pursuant to the Pennsylvania Right-to-Know Law, I request electronic copies of existing reports identifying positions funded in whole or in part by ESSER, Title programs, IDEA, state grants, mental-health grants, school-safety grants, or other temporary funds during fiscal years 2019-20 through 2025-26.</w:t>
        <w:br/>
        <w:br/>
        <w:t>Please include, where maintained: position title, FTE, department or building, funding source, amount, funding period, expiration date, and whether the position was eliminated or transferred to the General Fund or another local funding source. Please provide records in their existing electronic format, including Excel or CSV where available.</w:t>
      </w:r>
    </w:p>
    <w:p>
      <w:pPr>
        <w:pStyle w:val="Heading2"/>
        <w:keepNext/>
      </w:pPr>
      <w:r>
        <w:t>Request Eight Contracts and Vendors</w:t>
      </w:r>
    </w:p>
    <w:p>
      <w:r>
        <w:rPr>
          <w:b/>
          <w:color w:val="D97828"/>
        </w:rPr>
        <w:t xml:space="preserve">Purpose  </w:t>
      </w:r>
      <w:r>
        <w:t>Determine whether staffing or services moved outside employee headcount.</w:t>
      </w:r>
    </w:p>
    <w:p>
      <w:pPr>
        <w:spacing w:before="60" w:after="200"/>
        <w:ind w:left="360" w:right="216"/>
      </w:pPr>
      <w:r>
        <w:t>Pursuant to the Pennsylvania Right-to-Know Law, I request electronic copies of existing vendor expenditure reports, contract registers, executed contracts, and contract amendments for fiscal years 2019-20 through 2025-26 for substitute staffing, instructional services, behavioral health, special education, transportation, technology, custodial services, food services, administrative or professional consulting, and staffing services.</w:t>
        <w:br/>
        <w:br/>
        <w:t>Please include, where maintained: vendor, service, contract period, original contract value, amendments, and total payments. Please provide records in their existing electronic format, including Excel or CSV where available.</w:t>
      </w:r>
    </w:p>
    <w:p>
      <w:pPr>
        <w:pStyle w:val="Heading2"/>
        <w:keepNext/>
      </w:pPr>
      <w:r>
        <w:t>Request Nine Enrollment Movement and Forecasts</w:t>
      </w:r>
    </w:p>
    <w:p>
      <w:r>
        <w:rPr>
          <w:b/>
          <w:color w:val="D97828"/>
        </w:rPr>
        <w:t xml:space="preserve">Purpose  </w:t>
      </w:r>
      <w:r>
        <w:t>Identify why enrollment changed and how the district plans for future cohorts.</w:t>
      </w:r>
    </w:p>
    <w:p>
      <w:pPr>
        <w:spacing w:before="60" w:after="200"/>
        <w:ind w:left="360" w:right="216"/>
      </w:pPr>
      <w:r>
        <w:t>Pursuant to the Pennsylvania Right-to-Know Law, I request electronic copies of existing aggregate enrollment, withdrawal, transfer, and destination reports for the 2019-20 through 2025-26 school years.</w:t>
        <w:br/>
        <w:br/>
        <w:t>Please include, where maintained: aggregate count by reason, destination, grade, school, charter or cyber charter, private school, homeschool, relocation, and out-of-district placement. Student names and identification numbers are not requested.</w:t>
        <w:br/>
        <w:br/>
        <w:t>I also request existing district enrollment projections, projection assumptions, housing or development studies, birth or demographic studies, and enrollment reports used in annual budget preparation from July 1, 2019, through the present. Please provide records in their existing electronic format.</w:t>
      </w:r>
    </w:p>
    <w:p>
      <w:pPr>
        <w:pStyle w:val="Heading2"/>
        <w:keepNext/>
      </w:pPr>
      <w:r>
        <w:t>Request Ten Facilities and Capacity</w:t>
      </w:r>
    </w:p>
    <w:p>
      <w:r>
        <w:rPr>
          <w:b/>
          <w:color w:val="D97828"/>
        </w:rPr>
        <w:t xml:space="preserve">Purpose  </w:t>
      </w:r>
      <w:r>
        <w:t>Evaluate whether buildings and classrooms match current and projected enrollment.</w:t>
      </w:r>
    </w:p>
    <w:p>
      <w:pPr>
        <w:spacing w:before="60" w:after="200"/>
        <w:ind w:left="360" w:right="216"/>
      </w:pPr>
      <w:r>
        <w:t>Pursuant to the Pennsylvania Right-to-Know Law, I request electronic copies of existing building-capacity reports, classroom-utilization reports, enrollment-to-capacity analyses, demographic studies, facilities studies, and building-use projections created or received from July 1, 2019, through the present.</w:t>
        <w:br/>
        <w:br/>
        <w:t>Please include, where maintained: building capacity, current enrollment, number of instructional classrooms, unused or repurposed rooms, grade or program use, and annual operating cost by building. Please provide records in their existing electronic format, including Excel or CSV where available.</w:t>
      </w:r>
    </w:p>
    <w:p>
      <w:pPr>
        <w:pStyle w:val="Heading2"/>
      </w:pPr>
      <w:r>
        <w:t>Request Handling Notes</w:t>
      </w:r>
    </w:p>
    <w:p>
      <w:pPr>
        <w:pStyle w:val="ListBullet"/>
        <w:ind w:left="317" w:hanging="216"/>
      </w:pPr>
      <w:r>
        <w:t>Use the district open-records officer and retain the submission confirmation.</w:t>
      </w:r>
    </w:p>
    <w:p>
      <w:pPr>
        <w:pStyle w:val="ListBullet"/>
        <w:ind w:left="317" w:hanging="216"/>
      </w:pPr>
      <w:r>
        <w:t>Ask for a rolling production if responsive records are voluminous.</w:t>
      </w:r>
    </w:p>
    <w:p>
      <w:pPr>
        <w:pStyle w:val="ListBullet"/>
        <w:ind w:left="317" w:hanging="216"/>
      </w:pPr>
      <w:r>
        <w:t>If the district denies or redacts records, request the specific legal basis and a redaction log where applicable.</w:t>
      </w:r>
    </w:p>
    <w:p>
      <w:pPr>
        <w:pStyle w:val="ListBullet"/>
        <w:ind w:left="317" w:hanging="216"/>
      </w:pPr>
      <w:r>
        <w:t>Calendar the response deadline and any appeal deadline. Consult the Pennsylvania Office of Open Records for current procedures and forms.</w:t>
      </w:r>
    </w:p>
    <w:p>
      <w:pPr>
        <w:pStyle w:val="ListBullet"/>
        <w:ind w:left="317" w:hanging="216"/>
      </w:pPr>
      <w:r>
        <w:t>Preserve the original files and metadata. Analyze a working copy rather than changing the source file.</w:t>
      </w:r>
    </w:p>
    <w:p>
      <w:pPr>
        <w:pStyle w:val="Heading1"/>
      </w:pPr>
      <w:r>
        <w:t>Sources and Methods</w:t>
      </w:r>
    </w:p>
    <w:p>
      <w:r>
        <w:t>This report combines publicly available Pennsylvania Department of Education data and Future Ready PA school performance reports. Calculations use reported district enrollment and full-time personnel headcounts. County comparisons are descriptive and do not control for grade configuration, special education needs, program offerings, collective bargaining terms, or contracted services.</w:t>
      </w:r>
    </w:p>
    <w:p>
      <w:pPr>
        <w:pStyle w:val="ListBullet"/>
        <w:ind w:left="317" w:hanging="216"/>
      </w:pPr>
      <w:hyperlink r:id="rId10">
        <w:r>
          <w:rPr>
            <w:color w:val="23384D"/>
            <w:u w:val="single"/>
          </w:rPr>
          <w:t>Pennsylvania Department of Education Enrollment</w:t>
        </w:r>
      </w:hyperlink>
    </w:p>
    <w:p>
      <w:pPr>
        <w:pStyle w:val="ListBullet"/>
        <w:ind w:left="317" w:hanging="216"/>
      </w:pPr>
      <w:hyperlink r:id="rId11">
        <w:r>
          <w:rPr>
            <w:color w:val="23384D"/>
            <w:u w:val="single"/>
          </w:rPr>
          <w:t>Public School Enrollment 2016 17 Through 2025 26</w:t>
        </w:r>
      </w:hyperlink>
    </w:p>
    <w:p>
      <w:pPr>
        <w:pStyle w:val="ListBullet"/>
        <w:ind w:left="317" w:hanging="216"/>
      </w:pPr>
      <w:hyperlink r:id="rId12">
        <w:r>
          <w:rPr>
            <w:color w:val="23384D"/>
            <w:u w:val="single"/>
          </w:rPr>
          <w:t>School District Enrollment Projections</w:t>
        </w:r>
      </w:hyperlink>
    </w:p>
    <w:p>
      <w:pPr>
        <w:pStyle w:val="ListBullet"/>
        <w:ind w:left="317" w:hanging="216"/>
      </w:pPr>
      <w:hyperlink r:id="rId13">
        <w:r>
          <w:rPr>
            <w:color w:val="23384D"/>
            <w:u w:val="single"/>
          </w:rPr>
          <w:t>Professional and Support Personnel</w:t>
        </w:r>
      </w:hyperlink>
    </w:p>
    <w:p>
      <w:pPr>
        <w:pStyle w:val="ListBullet"/>
        <w:ind w:left="317" w:hanging="216"/>
      </w:pPr>
      <w:hyperlink r:id="rId14">
        <w:r>
          <w:rPr>
            <w:color w:val="23384D"/>
            <w:u w:val="single"/>
          </w:rPr>
          <w:t>Professional Staff Summary 2025 26</w:t>
        </w:r>
      </w:hyperlink>
    </w:p>
    <w:p>
      <w:pPr>
        <w:pStyle w:val="ListBullet"/>
        <w:ind w:left="317" w:hanging="216"/>
      </w:pPr>
      <w:hyperlink r:id="rId15">
        <w:r>
          <w:rPr>
            <w:color w:val="23384D"/>
            <w:u w:val="single"/>
          </w:rPr>
          <w:t>Support Personnel 2019 20</w:t>
        </w:r>
      </w:hyperlink>
    </w:p>
    <w:p>
      <w:pPr>
        <w:pStyle w:val="ListBullet"/>
        <w:ind w:left="317" w:hanging="216"/>
      </w:pPr>
      <w:hyperlink r:id="rId16">
        <w:r>
          <w:rPr>
            <w:color w:val="23384D"/>
            <w:u w:val="single"/>
          </w:rPr>
          <w:t>Support Personnel 2025 26</w:t>
        </w:r>
      </w:hyperlink>
    </w:p>
    <w:p>
      <w:pPr>
        <w:pStyle w:val="ListBullet"/>
        <w:ind w:left="317" w:hanging="216"/>
      </w:pPr>
      <w:hyperlink r:id="rId17">
        <w:r>
          <w:rPr>
            <w:color w:val="23384D"/>
            <w:u w:val="single"/>
          </w:rPr>
          <w:t>Classroom Teacher Retention 2024 25 to 2025 26</w:t>
        </w:r>
      </w:hyperlink>
    </w:p>
    <w:p>
      <w:pPr>
        <w:pStyle w:val="ListBullet"/>
        <w:ind w:left="317" w:hanging="216"/>
      </w:pPr>
      <w:hyperlink r:id="rId18">
        <w:r>
          <w:rPr>
            <w:color w:val="23384D"/>
            <w:u w:val="single"/>
          </w:rPr>
          <w:t>Professional Vacancies 2025 26 Quarter Three</w:t>
        </w:r>
      </w:hyperlink>
    </w:p>
    <w:p>
      <w:pPr>
        <w:pStyle w:val="ListBullet"/>
        <w:ind w:left="317" w:hanging="216"/>
      </w:pPr>
      <w:hyperlink r:id="rId19">
        <w:r>
          <w:rPr>
            <w:color w:val="23384D"/>
            <w:u w:val="single"/>
          </w:rPr>
          <w:t>Act 35 Report 2025 26</w:t>
        </w:r>
      </w:hyperlink>
    </w:p>
    <w:p>
      <w:pPr>
        <w:pStyle w:val="ListBullet"/>
        <w:ind w:left="317" w:hanging="216"/>
      </w:pPr>
      <w:hyperlink r:id="rId20">
        <w:r>
          <w:rPr>
            <w:color w:val="23384D"/>
            <w:u w:val="single"/>
          </w:rPr>
          <w:t>Future Ready PA Fourth and Fifth Grade Center</w:t>
        </w:r>
      </w:hyperlink>
    </w:p>
    <w:p>
      <w:pPr>
        <w:pStyle w:val="ListBullet"/>
        <w:ind w:left="317" w:hanging="216"/>
      </w:pPr>
      <w:hyperlink r:id="rId21">
        <w:r>
          <w:rPr>
            <w:color w:val="23384D"/>
            <w:u w:val="single"/>
          </w:rPr>
          <w:t>Future Ready PA Upper Perkiomen High School</w:t>
        </w:r>
      </w:hyperlink>
    </w:p>
    <w:p>
      <w:pPr>
        <w:pStyle w:val="ListBullet"/>
        <w:ind w:left="317" w:hanging="216"/>
      </w:pPr>
      <w:hyperlink r:id="rId22">
        <w:r>
          <w:rPr>
            <w:color w:val="23384D"/>
            <w:u w:val="single"/>
          </w:rPr>
          <w:t>Pennsylvania Office of Open Records</w:t>
        </w:r>
      </w:hyperlink>
    </w:p>
    <w:p>
      <w:pPr>
        <w:pStyle w:val="Heading2"/>
      </w:pPr>
      <w:r>
        <w:t>Limitations</w:t>
      </w:r>
    </w:p>
    <w:p>
      <w:pPr>
        <w:pStyle w:val="ListBullet"/>
        <w:ind w:left="317" w:hanging="216"/>
      </w:pPr>
      <w:r>
        <w:t>The teacher ratio divides district enrollment by reported full-time classroom teacher headcount. It is not average class size and may not equal full-time equivalents.</w:t>
      </w:r>
    </w:p>
    <w:p>
      <w:pPr>
        <w:pStyle w:val="ListBullet"/>
        <w:ind w:left="317" w:hanging="216"/>
      </w:pPr>
      <w:r>
        <w:t>PDE personnel categories can overlap, change, or contain reporting errors. Position-level district records are required to verify the classifications.</w:t>
      </w:r>
    </w:p>
    <w:p>
      <w:pPr>
        <w:pStyle w:val="ListBullet"/>
        <w:ind w:left="317" w:hanging="216"/>
      </w:pPr>
      <w:r>
        <w:t>Support personnel reports are aggregate and do not reveal outsourced services or the hours represented by part-time positions.</w:t>
      </w:r>
    </w:p>
    <w:p>
      <w:pPr>
        <w:pStyle w:val="ListBullet"/>
        <w:ind w:left="317" w:hanging="216"/>
      </w:pPr>
      <w:r>
        <w:t>Salary averages apply to full-time reported employees and may exclude salaries below the PDE reporting threshold. They may also reflect an expired or superseded collective bargaining agreement.</w:t>
      </w:r>
    </w:p>
    <w:p>
      <w:pPr>
        <w:pStyle w:val="ListBullet"/>
        <w:ind w:left="317" w:hanging="216"/>
      </w:pPr>
      <w:r>
        <w:t>Enrollment projections do not fully capture local housing, development, migration, and school-choice changes.</w:t>
      </w:r>
    </w:p>
    <w:p>
      <w:pPr>
        <w:pStyle w:val="ListBullet"/>
        <w:ind w:left="317" w:hanging="216"/>
      </w:pPr>
      <w:r>
        <w:t>The district reports much of the underlying data. Any material anomaly should be checked against submissions, validation records, board records, and audited financial records.</w:t>
      </w:r>
    </w:p>
    <w:p>
      <w:pPr>
        <w:pStyle w:val="Heading2"/>
      </w:pPr>
      <w:r>
        <w:t>Bottom Line</w:t>
      </w:r>
    </w:p>
    <w:p>
      <w:pPr>
        <w:keepLines/>
      </w:pPr>
      <w:r>
        <w:t>Upper Perkiomen served 334 fewer district students in 2025-26 than at its 2019-20 peak while reporting 33 more full-time professional staff. Classroom teaching grew modestly, and the district still had more students per teacher than most Montgomery County districts. The sharper questions concern the growth, cost, purpose, funding, and results of administrative and other professional positions. The first four records requests will provide the evidence needed to move from a valid public question to a documented conclusion.</w:t>
      </w:r>
    </w:p>
    <w:sectPr w:rsidR="00FC693F" w:rsidRPr="0006063C" w:rsidSect="00034616">
      <w:footerReference w:type="default" r:id="rId9"/>
      <w:pgSz w:w="12240" w:h="15840"/>
      <w:pgMar w:top="893" w:right="1181" w:bottom="89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66666"/>
        <w:sz w:val="18"/>
      </w:rPr>
      <w:t xml:space="preserve">Forge Change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spacing w:after="60"/>
      <w:contextualSpacing/>
    </w:pPr>
    <w:rPr>
      <w:rFonts w:ascii="Aptos" w:hAnsi="Aptos"/>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pa.gov/agencies/education/data-and-reporting/enrollment" TargetMode="External"/><Relationship Id="rId11" Type="http://schemas.openxmlformats.org/officeDocument/2006/relationships/hyperlink" Target="https://www.pa.gov/content/dam/copapwp-pagov/en/education/documents/data-and-reporting/enrollment/public-school/enrollment%20public%20school%201617%20through%202526.xlsx" TargetMode="External"/><Relationship Id="rId12" Type="http://schemas.openxmlformats.org/officeDocument/2006/relationships/hyperlink" Target="https://www.pa.gov/content/dam/copapwp-pagov/en/education/documents/data-and-reporting/enrollment/enrollment-projections/school%20district%20enrollment%20projections.xlsx" TargetMode="External"/><Relationship Id="rId13" Type="http://schemas.openxmlformats.org/officeDocument/2006/relationships/hyperlink" Target="https://www.pa.gov/agencies/education/data-and-reporting/school-staff/professional-and-support-personnel" TargetMode="External"/><Relationship Id="rId14" Type="http://schemas.openxmlformats.org/officeDocument/2006/relationships/hyperlink" Target="https://www.pa.gov/content/dam/copapwp-pagov/en/education/documents/data-and-reporting/professional-and-support-personnel/prof-staff-summary/2025-26%20professional%20staff%20summary%20report.xlsx" TargetMode="External"/><Relationship Id="rId15" Type="http://schemas.openxmlformats.org/officeDocument/2006/relationships/hyperlink" Target="https://www.pa.gov/content/dam/copapwp-pagov/en/education/documents/data-and-reporting/professional-and-support-personnel/support-staff/2019-20%20public%20school%20support%20personnel.xlsx" TargetMode="External"/><Relationship Id="rId16" Type="http://schemas.openxmlformats.org/officeDocument/2006/relationships/hyperlink" Target="https://www.pa.gov/content/dam/copapwp-pagov/en/education/documents/data-and-reporting/professional-and-support-personnel/support-staff/2025-26%20public%20school%20support%20personnel.xlsx" TargetMode="External"/><Relationship Id="rId17" Type="http://schemas.openxmlformats.org/officeDocument/2006/relationships/hyperlink" Target="https://www.pa.gov/content/dam/copapwp-pagov/en/education/documents/data-and-reporting/professional-and-support-personnel/2024-25-2025-26-retention-classroom-teachers.xlsx" TargetMode="External"/><Relationship Id="rId18" Type="http://schemas.openxmlformats.org/officeDocument/2006/relationships/hyperlink" Target="https://www.pa.gov/content/dam/copapwp-pagov/en/education/documents/data-and-reporting/professional-and-support-personnel/2025-26%20professional%20vacancies%20q3.xlsx" TargetMode="External"/><Relationship Id="rId19" Type="http://schemas.openxmlformats.org/officeDocument/2006/relationships/hyperlink" Target="https://www.pa.gov/content/dam/copapwp-pagov/en/education/documents/data-and-reporting/professional-and-support-personnel/act%2035%20report%20final%202025-26.xlsx" TargetMode="External"/><Relationship Id="rId20" Type="http://schemas.openxmlformats.org/officeDocument/2006/relationships/hyperlink" Target="https://futurereadypa.org/PerformanceDetail/151234244005107122202150117169109249174225098033/097026078241239000067229142120020250181075086075153155151199168046113219025083253166104133086228069204241210214193001027006191059134255135005023/056150031149148237195159159129066157167004000026" TargetMode="External"/><Relationship Id="rId21" Type="http://schemas.openxmlformats.org/officeDocument/2006/relationships/hyperlink" Target="https://futurereadypa.org/Performance/166055111091173035255194144155157033001146004120/097026078241239000067229142120020250181075086075020190245254201158001006122208103054041001121232" TargetMode="External"/><Relationship Id="rId22" Type="http://schemas.openxmlformats.org/officeDocument/2006/relationships/hyperlink" Target="https://www.openrecords.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Upper Perkiomen Enrollment Staffing and Accountability Review</dc:title>
  <dc:subject>Forge Change research summary and Right to Know action plan</dc:subject>
  <dc:creator>Raeann Hofkin and Forge Change</dc:creator>
  <cp:keywords>Upper Perkiomen, enrollment, staffing, Right to Know, Forge Change</cp:keywords>
  <dc:description>generated by python-docx</dc:description>
  <cp:lastModifiedBy/>
  <cp:revision>1</cp:revision>
  <dcterms:created xsi:type="dcterms:W3CDTF">2013-12-23T23:15:00Z</dcterms:created>
  <dcterms:modified xsi:type="dcterms:W3CDTF">2013-12-23T23:15:00Z</dcterms:modified>
  <cp:category/>
</cp:coreProperties>
</file>