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80"/>
      </w:pPr>
      <w:r>
        <w:rPr>
          <w:rFonts w:ascii="Aptos" w:hAnsi="Aptos"/>
          <w:b/>
          <w:color w:val="D97828"/>
          <w:sz w:val="22"/>
        </w:rPr>
        <w:t>FORGE CHANGE</w:t>
      </w:r>
    </w:p>
    <w:p>
      <w:pPr>
        <w:pStyle w:val="Title"/>
      </w:pPr>
      <w:r>
        <w:t>Lehighton Area Enrollment Staffing and Accountability Review</w:t>
      </w:r>
    </w:p>
    <w:p>
      <w:pPr>
        <w:spacing w:after="440"/>
      </w:pPr>
      <w:r>
        <w:rPr>
          <w:rFonts w:ascii="Aptos Display" w:hAnsi="Aptos Display"/>
          <w:sz w:val="32"/>
        </w:rPr>
        <w:t>Research Summary and Right to Know Action Plan</w:t>
      </w:r>
    </w:p>
    <w:p>
      <w:pPr>
        <w:spacing w:after="80"/>
      </w:pPr>
      <w:r>
        <w:rPr>
          <w:b/>
          <w:color w:val="D97828"/>
        </w:rPr>
        <w:t xml:space="preserve">Prepared for  </w:t>
      </w:r>
      <w:r>
        <w:t>Coach Dave  Director of Educational Theater</w:t>
      </w:r>
    </w:p>
    <w:p>
      <w:pPr>
        <w:spacing w:after="80"/>
      </w:pPr>
      <w:r>
        <w:rPr>
          <w:b/>
          <w:color w:val="D97828"/>
        </w:rPr>
        <w:t xml:space="preserve">Prepared by  </w:t>
      </w:r>
      <w:r>
        <w:t>Raeann Hofkin and Forge Change</w:t>
      </w:r>
    </w:p>
    <w:p>
      <w:pPr>
        <w:spacing w:after="80"/>
      </w:pPr>
      <w:r>
        <w:rPr>
          <w:b/>
          <w:color w:val="D97828"/>
        </w:rPr>
        <w:t xml:space="preserve">Date  </w:t>
      </w:r>
      <w:r>
        <w:t>September 2026</w:t>
      </w:r>
    </w:p>
    <w:p>
      <w:pPr>
        <w:spacing w:after="80"/>
      </w:pPr>
      <w:r>
        <w:rPr>
          <w:b/>
          <w:color w:val="D97828"/>
        </w:rPr>
        <w:t xml:space="preserve">Subject  </w:t>
      </w:r>
      <w:r>
        <w:t>Lehighton Area School District enrollment staffing costs debt services and outcomes</w:t>
      </w:r>
    </w:p>
    <w:p>
      <w:pPr>
        <w:spacing w:after="440"/>
      </w:pPr>
    </w:p>
    <w:p>
      <w:pPr>
        <w:spacing w:before="700" w:after="0"/>
      </w:pPr>
      <w:r>
        <w:rPr>
          <w:b/>
          <w:sz w:val="24"/>
        </w:rPr>
        <w:t>Central question</w:t>
      </w:r>
    </w:p>
    <w:p>
      <w:pPr>
        <w:spacing w:after="0"/>
      </w:pPr>
      <w:r>
        <w:rPr>
          <w:b/>
          <w:sz w:val="30"/>
        </w:rPr>
        <w:t>As enrollment declined, why did classroom staffing increase sharply, how did support staffing change, and what measurable benefit did students receive</w:t>
      </w:r>
    </w:p>
    <w:p>
      <w:r>
        <w:br w:type="page"/>
      </w:r>
    </w:p>
    <w:p>
      <w:pPr>
        <w:pStyle w:val="Heading1"/>
      </w:pPr>
      <w:r>
        <w:t>Executive Summary</w:t>
      </w:r>
    </w:p>
    <w:p>
      <w:r>
        <w:rPr>
          <w:b/>
          <w:color w:val="D97828"/>
        </w:rPr>
        <w:t xml:space="preserve">Main conclusion  </w:t>
      </w:r>
      <w:r>
        <w:t>Lehighton presents a more complicated pattern than a simple claim that the district kept the same number of teachers. Enrollment fell by 324 students from 2019-20 through 2025-26, while full-time classroom teachers increased by 26. At the same time, reported support personnel declined by 48 people. The public data therefore point to a rebalancing from support roles toward professional and classroom positions, with a particularly large staffing change in 2021-22. The district should be asked to document why that shift occurred and what student need it addressed.</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74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Measure</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21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District enrollment</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2,369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2,045</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-324  -13.7%</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Classroom teachers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159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185</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+26  +16.4%</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All professional staff</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189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214</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+25  +13.2%</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Support personnel</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140</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92</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-48  -34.3%</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Combined reported people</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329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306</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-23  -7.0%</w:t>
            </w:r>
          </w:p>
        </w:tc>
      </w:tr>
      <w:tr>
        <w:tc>
          <w:tcPr>
            <w:tcW w:type="dxa" w:w="37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Students per classroom teacher</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11.1</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-3.8</w:t>
            </w:r>
          </w:p>
        </w:tc>
      </w:tr>
    </w:tbl>
    <w:p>
      <w:pPr>
        <w:spacing w:after="20"/>
      </w:pPr>
    </w:p>
    <w:p>
      <w:pPr>
        <w:pStyle w:val="Heading2"/>
      </w:pPr>
      <w:r>
        <w:t>What the Evidence Supports</w:t>
      </w:r>
    </w:p>
    <w:p>
      <w:pPr>
        <w:pStyle w:val="ListBullet"/>
        <w:ind w:left="317" w:hanging="216"/>
      </w:pPr>
      <w:r>
        <w:t>All three district buildings lost enrollment. The middle and high schools account for 254 of the 324 student decline, about 78 percent.</w:t>
      </w:r>
    </w:p>
    <w:p>
      <w:pPr>
        <w:pStyle w:val="ListBullet"/>
        <w:ind w:left="317" w:hanging="216"/>
      </w:pPr>
      <w:r>
        <w:t>Lehighton had 11.1 students per full-time classroom teacher in 2025-26, the lowest ratio among Carbon County school districts and essentially tied with Palmerton.</w:t>
      </w:r>
    </w:p>
    <w:p>
      <w:pPr>
        <w:pStyle w:val="ListBullet"/>
        <w:ind w:left="317" w:hanging="216"/>
      </w:pPr>
      <w:r>
        <w:t>The classroom-teacher count rose from 145 in 2020-21 to 182 in 2021-22, an increase of 37 in one year while enrollment rose by only 29 students.</w:t>
      </w:r>
    </w:p>
    <w:p>
      <w:pPr>
        <w:pStyle w:val="ListBullet"/>
        <w:ind w:left="317" w:hanging="216"/>
      </w:pPr>
      <w:r>
        <w:t>Student results are mixed. Elementary and middle school proficiency trails statewide results, but student growth is strong. High school proficiency and graduation are comparatively strong, while attendance and some career-readiness indicators are weak.</w:t>
      </w:r>
    </w:p>
    <w:p>
      <w:pPr>
        <w:pStyle w:val="ListBullet"/>
        <w:ind w:left="317" w:hanging="216"/>
      </w:pPr>
      <w:r>
        <w:t>The 2025-26 budget totals $50.1 million and reports approximately $91.5 million in General Fund bonds payable at June 30 2025. Staffing and debt should be examined together when assessing long-term sustainability.</w:t>
      </w:r>
    </w:p>
    <w:p>
      <w:pPr>
        <w:pStyle w:val="Heading2"/>
      </w:pPr>
      <w:r>
        <w:t>Recommended Next Step</w:t>
      </w:r>
    </w:p>
    <w:p>
      <w:r>
        <w:t>Begin with separate requests for position control, class sections, personnel costs, the 2021-22 staffing increase, and reconciliation of conflicting state submissions. Add requests covering debt, facilities, special education, cyber charter enrollment, and the Lehighton Area Virtual Academy.</w:t>
      </w:r>
    </w:p>
    <w:p>
      <w:r>
        <w:br w:type="page"/>
      </w:r>
    </w:p>
    <w:p>
      <w:pPr>
        <w:pStyle w:val="Heading1"/>
      </w:pPr>
      <w:r>
        <w:t>Enrollment Findings</w:t>
      </w:r>
    </w:p>
    <w:p>
      <w:r>
        <w:rPr>
          <w:b/>
          <w:color w:val="D97828"/>
        </w:rPr>
        <w:t xml:space="preserve">Verified trend  </w:t>
      </w:r>
      <w:r>
        <w:t>PDE enrollment records show a current ten-year low of 2,045 students. Enrollment declined by 324 students from the 2019-20 high point and by 332 students from 2016-17.</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 year</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Enrollment</w:t>
            </w:r>
          </w:p>
        </w:tc>
        <w:tc>
          <w:tcPr>
            <w:tcW w:type="dxa" w:w="360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 from prior year</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2016-17</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2,377</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2017-18</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2,345</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-32</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2018-19</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2,310</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-35</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2019-20</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2,369</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+59</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2020-21</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2,187</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-182</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2021-22</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2,216</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+29</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2022-23</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2,194</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-22</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2023-24</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2,128</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-66</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2024-25</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2,119</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w:t>
            </w:r>
          </w:p>
        </w:tc>
      </w:tr>
      <w:tr>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2025-26</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2,045</w:t>
            </w:r>
          </w:p>
        </w:tc>
        <w:tc>
          <w:tcPr>
            <w:tcW w:type="dxa" w:w="360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-74</w:t>
            </w:r>
          </w:p>
        </w:tc>
      </w:tr>
    </w:tbl>
    <w:p>
      <w:pPr>
        <w:spacing w:after="20"/>
      </w:pPr>
    </w:p>
    <w:p>
      <w:pPr>
        <w:pStyle w:val="Heading2"/>
      </w:pPr>
      <w:r>
        <w:t>Where the Decline Occurred</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88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208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r>
      <w:tr>
        <w:tc>
          <w:tcPr>
            <w:tcW w:type="dxa" w:w="38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Elementary Center</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1,045</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975</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-70  -6.7%</w:t>
            </w:r>
          </w:p>
        </w:tc>
      </w:tr>
      <w:tr>
        <w:tc>
          <w:tcPr>
            <w:tcW w:type="dxa" w:w="38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Middle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581</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461</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-120  -20.7%</w:t>
            </w:r>
          </w:p>
        </w:tc>
      </w:tr>
      <w:tr>
        <w:tc>
          <w:tcPr>
            <w:tcW w:type="dxa" w:w="38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High School</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743</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609</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-134  -18.0%</w:t>
            </w:r>
          </w:p>
        </w:tc>
      </w:tr>
    </w:tbl>
    <w:p>
      <w:pPr>
        <w:spacing w:after="20"/>
      </w:pPr>
    </w:p>
    <w:p>
      <w:r>
        <w:rPr>
          <w:b/>
          <w:color w:val="D97828"/>
        </w:rPr>
        <w:t xml:space="preserve">Interpretation  </w:t>
      </w:r>
      <w:r>
        <w:t>The enrollment question is not limited to total staffing. It should be tested building by building and grade by grade. Secondary enrollment fell fastest, so the master schedule, number of course sections, elective access, and average section size are especially important.</w:t>
      </w:r>
    </w:p>
    <w:p>
      <w:pPr>
        <w:pStyle w:val="Heading2"/>
      </w:pPr>
      <w:r>
        <w:t>Current Grade Pipeline</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09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Grade group</w:t>
            </w:r>
          </w:p>
        </w:tc>
        <w:tc>
          <w:tcPr>
            <w:tcW w:type="dxa" w:w="223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 students</w:t>
            </w:r>
          </w:p>
        </w:tc>
        <w:tc>
          <w:tcPr>
            <w:tcW w:type="dxa" w:w="39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Observation</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Pre K</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33</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Excluded from PDE projection totals</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Kindergarten through grade 4</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790</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Individual grades range from 138 to 177</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Grades 5 through 8</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613</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Individual grades are relatively even</w:t>
            </w:r>
          </w:p>
        </w:tc>
      </w:tr>
      <w:tr>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Grades 9 through 12</w:t>
            </w:r>
          </w:p>
        </w:tc>
        <w:tc>
          <w:tcPr>
            <w:tcW w:type="dxa" w:w="223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609</w:t>
            </w:r>
          </w:p>
        </w:tc>
        <w:tc>
          <w:tcPr>
            <w:tcW w:type="dxa" w:w="39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Small grade 11 class but larger grade 12 class</w:t>
            </w:r>
          </w:p>
        </w:tc>
      </w:tr>
    </w:tbl>
    <w:p>
      <w:pPr>
        <w:spacing w:after="20"/>
      </w:pPr>
    </w:p>
    <w:p>
      <w:pPr>
        <w:pStyle w:val="Heading1"/>
      </w:pPr>
      <w:r>
        <w:t>Enrollment Outlook</w:t>
      </w:r>
    </w:p>
    <w:p>
      <w:r>
        <w:rPr>
          <w:b/>
          <w:color w:val="D97828"/>
        </w:rPr>
        <w:t xml:space="preserve">PDE projection  </w:t>
      </w:r>
      <w:r>
        <w:t>The state projection shows near-term stability and gradual growth in K-12 enrollment. However, the projection estimated 2,070 K-12 students for 2025-26, while the reported actual K-12 count was 2,012. The projection was already 58 students high, so local assumptions should be tested before it is used for staffing or facilities decisions.</w:t>
      </w:r>
    </w:p>
    <w:tbl>
      <w:tblPr>
        <w:tblW w:type="auto" w:w="0"/>
        <w:jc w:val="center"/>
        <w:tblLayout w:type="fixed"/>
        <w:tblLook w:firstColumn="1" w:firstRow="1" w:lastColumn="0" w:lastRow="0" w:noHBand="0" w:noVBand="1" w:val="04A0"/>
      </w:tblPr>
      <w:tblGrid>
        <w:gridCol w:w="4939"/>
        <w:gridCol w:w="4939"/>
      </w:tblGrid>
      <w:tr>
        <w:trPr>
          <w:tblHeader w:val="true"/>
        </w:trPr>
        <w:tc>
          <w:tcPr>
            <w:tcW w:type="dxa" w:w="43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School year</w:t>
            </w:r>
          </w:p>
        </w:tc>
        <w:tc>
          <w:tcPr>
            <w:tcW w:type="dxa" w:w="43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Projected K 12 enrollment</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2025-26</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2,070</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2026-27</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2,066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2027-28</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2,065</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2028-29</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2,056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2029-30</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2,072</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2030-31</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2,096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2031-32</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2,114</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2032-33</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2,136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2033-34</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2,156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2034-35</w:t>
            </w:r>
          </w:p>
        </w:tc>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2,158</w:t>
            </w:r>
          </w:p>
        </w:tc>
      </w:tr>
    </w:tbl>
    <w:p>
      <w:pPr>
        <w:spacing w:after="20"/>
      </w:pPr>
    </w:p>
    <w:p>
      <w:pPr>
        <w:pStyle w:val="Heading2"/>
      </w:pPr>
      <w:r>
        <w:t>Questions Raised by the Outlook</w:t>
      </w:r>
    </w:p>
    <w:p>
      <w:pPr>
        <w:pStyle w:val="ListBullet"/>
        <w:ind w:left="317" w:hanging="216"/>
      </w:pPr>
      <w:r>
        <w:t>What birth, housing, charter-return, private-school, and migration assumptions are included in district planning</w:t>
      </w:r>
    </w:p>
    <w:p>
      <w:pPr>
        <w:pStyle w:val="ListBullet"/>
        <w:ind w:left="317" w:hanging="216"/>
      </w:pPr>
      <w:r>
        <w:t>Does the district maintain a more recent projection than the statewide file</w:t>
      </w:r>
    </w:p>
    <w:p>
      <w:pPr>
        <w:pStyle w:val="ListBullet"/>
        <w:ind w:left="317" w:hanging="216"/>
      </w:pPr>
      <w:r>
        <w:t>What building capacities and utilization targets are used for the elementary center, middle school, and high school</w:t>
      </w:r>
    </w:p>
    <w:p>
      <w:pPr>
        <w:pStyle w:val="ListBullet"/>
        <w:ind w:left="317" w:hanging="216"/>
      </w:pPr>
      <w:r>
        <w:t>How are Lehighton Area Virtual Academy students counted in enrollment, staffing, and facility planning</w:t>
      </w:r>
    </w:p>
    <w:p>
      <w:r>
        <w:rPr>
          <w:b/>
          <w:color w:val="D97828"/>
        </w:rPr>
        <w:t xml:space="preserve">Caution  </w:t>
      </w:r>
      <w:r>
        <w:t>A projection is a planning scenario, not a guarantee. The youngest grades are not uniformly smaller, but that alone does not establish future growth. Enrollment should be monitored annually against the projection and tied to a transparent staffing formula.</w:t>
      </w:r>
    </w:p>
    <w:p>
      <w:r>
        <w:br w:type="page"/>
      </w:r>
    </w:p>
    <w:p>
      <w:pPr>
        <w:pStyle w:val="Heading1"/>
      </w:pPr>
      <w:r>
        <w:t>Classroom Staffing Findings</w:t>
      </w:r>
    </w:p>
    <w:p>
      <w:r>
        <w:rPr>
          <w:b/>
          <w:color w:val="D97828"/>
        </w:rPr>
        <w:t xml:space="preserve">Verified trend  </w:t>
      </w:r>
      <w:r>
        <w:t>PDE full-time professional staff summaries show that the classroom-teacher count rose by 26 from 2019-20 through 2025-26 even as enrollment fell by 324 students.</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21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School year</w:t>
            </w:r>
          </w:p>
        </w:tc>
        <w:tc>
          <w:tcPr>
            <w:tcW w:type="dxa" w:w="216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Enrollment</w:t>
            </w:r>
          </w:p>
        </w:tc>
        <w:tc>
          <w:tcPr>
            <w:tcW w:type="dxa" w:w="259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Classroom teachers</w:t>
            </w:r>
          </w:p>
        </w:tc>
        <w:tc>
          <w:tcPr>
            <w:tcW w:type="dxa" w:w="259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Students per teacher</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2016-17</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2,377</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173</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13.7</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2017-18</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2,345</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171</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13.7</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2018-19</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2,310</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164</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14.1</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2019-20</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2,369</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159</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14.9</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2020-21</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2,187</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145</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15.1</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2021-22</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2,216</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182</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12.2</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2022-23</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2,194</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187</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11.7</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2023-24</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2,128</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182</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11.7</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2024-25</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2,119</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188</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11.3</w:t>
            </w:r>
          </w:p>
        </w:tc>
      </w:tr>
      <w:tr>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2025-26</w:t>
            </w:r>
          </w:p>
        </w:tc>
        <w:tc>
          <w:tcPr>
            <w:tcW w:type="dxa" w:w="216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2,045</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185</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11.1</w:t>
            </w:r>
          </w:p>
        </w:tc>
      </w:tr>
    </w:tbl>
    <w:p>
      <w:pPr>
        <w:spacing w:after="20"/>
      </w:pPr>
    </w:p>
    <w:p>
      <w:pPr>
        <w:pStyle w:val="Heading2"/>
      </w:pPr>
      <w:r>
        <w:t>The Key Break in the Series</w:t>
      </w:r>
    </w:p>
    <w:p>
      <w:pPr>
        <w:pStyle w:val="ListBullet"/>
        <w:ind w:left="317" w:hanging="216"/>
      </w:pPr>
      <w:r>
        <w:t>Classroom teachers increased by 37 between 2020-21 and 2021-22.</w:t>
      </w:r>
    </w:p>
    <w:p>
      <w:pPr>
        <w:pStyle w:val="ListBullet"/>
        <w:ind w:left="317" w:hanging="216"/>
      </w:pPr>
      <w:r>
        <w:t>Enrollment increased by only 29 students over the same year.</w:t>
      </w:r>
    </w:p>
    <w:p>
      <w:pPr>
        <w:pStyle w:val="ListBullet"/>
        <w:ind w:left="317" w:hanging="216"/>
      </w:pPr>
      <w:r>
        <w:t>The public state summary does not explain whether this reflected pandemic recovery, ESSER-funded positions, reclassification, special education needs, restored vacancies, smaller sections, or another policy choice.</w:t>
      </w:r>
    </w:p>
    <w:p>
      <w:r>
        <w:rPr>
          <w:b/>
          <w:color w:val="D97828"/>
        </w:rPr>
        <w:t xml:space="preserve">Most important test  </w:t>
      </w:r>
      <w:r>
        <w:t>Obtain the position-level change report and master schedules for 2019-20, 2020-21, 2021-22, and 2025-26. That comparison can show exactly which jobs and course sections appeared, disappeared, or changed classification.</w:t>
      </w:r>
    </w:p>
    <w:p>
      <w:pPr>
        <w:pStyle w:val="Heading2"/>
      </w:pPr>
      <w:r>
        <w:t>How to Read the Ratio</w:t>
      </w:r>
    </w:p>
    <w:p>
      <w:r>
        <w:t>Students per classroom teacher is enrollment divided by the number of full-time classroom teachers. It is a staffing-intensity measure, not an average class size. Teachers may serve special education, intervention, electives, laboratories, planning periods, or other assignments that do not map one-for-one to a homeroom or course section.</w:t>
      </w:r>
    </w:p>
    <w:p>
      <w:r>
        <w:br w:type="page"/>
      </w:r>
    </w:p>
    <w:p>
      <w:pPr>
        <w:pStyle w:val="Heading1"/>
      </w:pPr>
      <w:r>
        <w:t>Carbon County Comparison</w:t>
      </w:r>
    </w:p>
    <w:p>
      <w:r>
        <w:rPr>
          <w:b/>
          <w:color w:val="D97828"/>
        </w:rPr>
        <w:t xml:space="preserve">Current comparison  </w:t>
      </w:r>
      <w:r>
        <w:t>Lehighton reported the most teacher-intensive ratio in Carbon County in 2025-26. A lower number means fewer enrolled students for each reported full-time classroom teacher.</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24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District</w:t>
            </w:r>
          </w:p>
        </w:tc>
        <w:tc>
          <w:tcPr>
            <w:tcW w:type="dxa" w:w="1944"/>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Enrollment</w:t>
            </w:r>
          </w:p>
        </w:tc>
        <w:tc>
          <w:tcPr>
            <w:tcW w:type="dxa" w:w="237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Classroom teachers</w:t>
            </w:r>
          </w:p>
        </w:tc>
        <w:tc>
          <w:tcPr>
            <w:tcW w:type="dxa" w:w="237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Students per teacher</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Lehighton Area</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2,045</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185</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11.1</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Palmerton Area</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1,588</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143</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11.1</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Jim Thorpe Area</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1,629</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131</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12.4</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Weatherly Area</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591</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47</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12.6</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Panther Valley</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1,795</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115</w:t>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15.6</w:t>
            </w:r>
          </w:p>
        </w:tc>
      </w:tr>
      <w:tr>
        <w:tc>
          <w:tcPr>
            <w:tcW w:type="dxa" w:w="324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County median</w:t>
            </w:r>
          </w:p>
        </w:tc>
        <w:tc>
          <w:tcPr>
            <w:tcW w:type="dxa" w:w="1944"/>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r>
          </w:p>
        </w:tc>
        <w:tc>
          <w:tcPr>
            <w:tcW w:type="dxa" w:w="237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12.4</w:t>
            </w:r>
          </w:p>
        </w:tc>
      </w:tr>
    </w:tbl>
    <w:p>
      <w:pPr>
        <w:spacing w:after="20"/>
      </w:pPr>
    </w:p>
    <w:p>
      <w:pPr>
        <w:pStyle w:val="Heading2"/>
      </w:pPr>
      <w:r>
        <w:t>What the Comparison Can and Cannot Show</w:t>
      </w:r>
    </w:p>
    <w:p>
      <w:pPr>
        <w:pStyle w:val="ListBullet"/>
        <w:ind w:left="317" w:hanging="216"/>
      </w:pPr>
      <w:r>
        <w:t>It identifies a legitimate difference that deserves an explanation.</w:t>
      </w:r>
    </w:p>
    <w:p>
      <w:pPr>
        <w:pStyle w:val="ListBullet"/>
        <w:ind w:left="317" w:hanging="216"/>
      </w:pPr>
      <w:r>
        <w:t>It does not establish excess staffing because district grade configurations, special education programs, course offerings, contracted services, and student needs differ.</w:t>
      </w:r>
    </w:p>
    <w:p>
      <w:pPr>
        <w:pStyle w:val="ListBullet"/>
        <w:ind w:left="317" w:hanging="216"/>
      </w:pPr>
      <w:r>
        <w:t>The roughly equal Lehighton and Palmerton ratios provide a useful local reference, while the higher county median shows the range is substantial.</w:t>
      </w:r>
    </w:p>
    <w:p>
      <w:r>
        <w:rPr>
          <w:b/>
          <w:color w:val="D97828"/>
        </w:rPr>
        <w:t xml:space="preserve">Forge Change use  </w:t>
      </w:r>
      <w:r>
        <w:t>Pair this comparison with class-section records and student-service caseloads. The useful question is not simply whether the ratio is low, but what students receive in return for the added staffing intensity.</w:t>
      </w:r>
    </w:p>
    <w:p>
      <w:pPr>
        <w:pStyle w:val="Heading2"/>
      </w:pPr>
      <w:r>
        <w:t>A Practical Benefit Test</w:t>
      </w:r>
    </w:p>
    <w:p>
      <w:pPr>
        <w:pStyle w:val="ListNumber"/>
        <w:ind w:left="403" w:hanging="259"/>
      </w:pPr>
      <w:r>
        <w:t>Identify the added or reclassified positions by school, assignment, and funding source.</w:t>
      </w:r>
    </w:p>
    <w:p>
      <w:pPr>
        <w:pStyle w:val="ListNumber"/>
        <w:ind w:left="403" w:hanging="259"/>
      </w:pPr>
      <w:r>
        <w:t>Measure whether they reduced class sizes, expanded courses, met special education needs, or improved intervention access.</w:t>
      </w:r>
    </w:p>
    <w:p>
      <w:pPr>
        <w:pStyle w:val="ListNumber"/>
        <w:ind w:left="403" w:hanging="259"/>
      </w:pPr>
      <w:r>
        <w:t>Compare the intended outcomes with attendance, achievement, growth, graduation, and student-service results.</w:t>
      </w:r>
    </w:p>
    <w:p>
      <w:pPr>
        <w:pStyle w:val="ListNumber"/>
        <w:ind w:left="403" w:hanging="259"/>
      </w:pPr>
      <w:r>
        <w:t>Test whether the positions remain affordable after temporary funding and alongside debt obligations.</w:t>
      </w:r>
    </w:p>
    <w:p>
      <w:r>
        <w:br w:type="page"/>
      </w:r>
    </w:p>
    <w:p>
      <w:pPr>
        <w:pStyle w:val="Heading1"/>
      </w:pPr>
      <w:r>
        <w:t>Professional and Support Staffing</w:t>
      </w:r>
    </w:p>
    <w:p>
      <w:r>
        <w:rPr>
          <w:b/>
          <w:color w:val="D97828"/>
        </w:rPr>
        <w:t xml:space="preserve">Professional staff  </w:t>
      </w:r>
      <w:r>
        <w:t>The increase from 2019-20 was concentrated in classroom teachers. Administrators increased by one, while coordinated-service and other professional categories declined slightly.</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Professional category</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17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c>
          <w:tcPr>
            <w:tcW w:type="dxa" w:w="208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Change</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Classroom teachers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159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185</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+26</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Administrators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8</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Coordinated services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20</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18</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Other professionals</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3</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2</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All professional staff</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189</w:t>
            </w:r>
          </w:p>
        </w:tc>
        <w:tc>
          <w:tcPr>
            <w:tcW w:type="dxa" w:w="17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214</w:t>
            </w:r>
          </w:p>
        </w:tc>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+25</w:t>
            </w:r>
          </w:p>
        </w:tc>
      </w:tr>
    </w:tbl>
    <w:p>
      <w:pPr>
        <w:spacing w:after="20"/>
      </w:pPr>
    </w:p>
    <w:p>
      <w:pPr>
        <w:pStyle w:val="Heading2"/>
      </w:pPr>
      <w:r>
        <w:t>Support Personnel Shift</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4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Support category</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2019 20</w:t>
            </w:r>
          </w:p>
        </w:tc>
        <w:tc>
          <w:tcPr>
            <w:tcW w:type="dxa" w:w="288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2025 26</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Instructional aides</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30 full time  5 part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28 full time  0 part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School administration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12 full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8 full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Library and media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 full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0 reported</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LEA administration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9 full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9 full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All other support</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31 full time  50 part time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27 full time  20 part time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Total support people</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140</w:t>
            </w:r>
          </w:p>
        </w:tc>
        <w:tc>
          <w:tcPr>
            <w:tcW w:type="dxa" w:w="288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92</w:t>
            </w:r>
          </w:p>
        </w:tc>
      </w:tr>
    </w:tbl>
    <w:p>
      <w:pPr>
        <w:spacing w:after="20"/>
      </w:pPr>
    </w:p>
    <w:p>
      <w:r>
        <w:rPr>
          <w:b/>
          <w:color w:val="D97828"/>
        </w:rPr>
        <w:t xml:space="preserve">Interpretation  </w:t>
      </w:r>
      <w:r>
        <w:t>The combined reported professional and support headcount fell from 329 to 306. This suggests a staffing mix change rather than simple overall growth. The public files do not provide part-time hours, contracted-worker counts, or enough detail to determine whether work was eliminated, outsourced, automated, or moved into professional classifications.</w:t>
      </w:r>
    </w:p>
    <w:p>
      <w:pPr>
        <w:pStyle w:val="Heading2"/>
      </w:pPr>
      <w:r>
        <w:t>Salary Context</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43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Measure</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2019 20</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8"/>
              </w:rPr>
              <w:t>2025 26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classroom-teacher salary</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$62,712</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$64,510</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Average administrator salary</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$99,233</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$109,734</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all-professional salary</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$66,976</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8"/>
              </w:rPr>
              <w:t>Average teacher experience</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8"/>
              </w:rPr>
              <w:t>16.36 years</w:t>
            </w:r>
          </w:p>
        </w:tc>
      </w:tr>
      <w:tr>
        <w:tc>
          <w:tcPr>
            <w:tcW w:type="dxa" w:w="43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8"/>
              </w:rPr>
              <w:t>Average teacher service in district</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8"/>
              </w:rPr>
              <w:t>13.43 years</w:t>
            </w:r>
          </w:p>
        </w:tc>
      </w:tr>
    </w:tbl>
    <w:p>
      <w:pPr>
        <w:spacing w:after="20"/>
      </w:pPr>
    </w:p>
    <w:p>
      <w:r>
        <w:br w:type="page"/>
      </w:r>
    </w:p>
    <w:p>
      <w:pPr>
        <w:pStyle w:val="Heading1"/>
      </w:pPr>
      <w:r>
        <w:t>Financial and Debt Snapshot</w:t>
      </w:r>
    </w:p>
    <w:p>
      <w:r>
        <w:rPr>
          <w:b/>
          <w:color w:val="D97828"/>
        </w:rPr>
        <w:t xml:space="preserve">Budget context  </w:t>
      </w:r>
      <w:r>
        <w:t>The adopted 2025-26 General Fund budget adds an important dimension to the staffing review. It reports $50.1 million in expenditures, a $354,656 gap between budgeted revenue and expenditures, and approximately $91.5 million in General Fund bonds payable at June 30 2025.</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67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Budget item</w:t>
            </w:r>
          </w:p>
        </w:tc>
        <w:tc>
          <w:tcPr>
            <w:tcW w:type="dxa" w:w="2592"/>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2025 26 amount</w:t>
            </w:r>
          </w:p>
        </w:tc>
        <w:tc>
          <w:tcPr>
            <w:tcW w:type="dxa" w:w="309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Share or context</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Total expenditures</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$50,110,818</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100.0%</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Instruction</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$32,312,986</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64.5%</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Support services</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$12,918,734</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25.8%</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Student activities and community</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$1,027,007</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2.0%</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Debt service and other financing</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$3,802,091</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7.6%</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Budgeted revenue</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$49,756,162</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$354,656 below expenditures</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General Fund bonds payable</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$91,514,961</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Estimate at June 30 2025</w:t>
            </w:r>
          </w:p>
        </w:tc>
      </w:tr>
      <w:tr>
        <w:tc>
          <w:tcPr>
            <w:tcW w:type="dxa" w:w="367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Projected bonds payable</w:t>
            </w:r>
          </w:p>
        </w:tc>
        <w:tc>
          <w:tcPr>
            <w:tcW w:type="dxa" w:w="2592"/>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$88,570,961</w:t>
            </w:r>
          </w:p>
        </w:tc>
        <w:tc>
          <w:tcPr>
            <w:tcW w:type="dxa" w:w="309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Estimate at June 30 2026</w:t>
            </w:r>
          </w:p>
        </w:tc>
      </w:tr>
    </w:tbl>
    <w:p>
      <w:pPr>
        <w:spacing w:after="20"/>
      </w:pPr>
    </w:p>
    <w:p>
      <w:pPr>
        <w:pStyle w:val="Heading2"/>
      </w:pPr>
      <w:r>
        <w:t>Useful Derived Measures</w:t>
      </w:r>
    </w:p>
    <w:p>
      <w:pPr>
        <w:pStyle w:val="ListBullet"/>
        <w:ind w:left="317" w:hanging="216"/>
      </w:pPr>
      <w:r>
        <w:t>Budgeted expenditure is approximately $24,504 per current district student. This is a simple budget-to-enrollment calculation, not an official PDE per-pupil expenditure measure.</w:t>
      </w:r>
    </w:p>
    <w:p>
      <w:pPr>
        <w:pStyle w:val="ListBullet"/>
        <w:ind w:left="317" w:hanging="216"/>
      </w:pPr>
      <w:r>
        <w:t>Estimated bonds payable at June 30 2025 equal approximately $44,750 per current district student. Debt should be evaluated with the assets financed, interest costs, maturity schedule, refinancing history, and state reimbursement.</w:t>
      </w:r>
    </w:p>
    <w:p>
      <w:pPr>
        <w:pStyle w:val="ListBullet"/>
        <w:ind w:left="317" w:hanging="216"/>
      </w:pPr>
      <w:r>
        <w:t>Federal revenue is budgeted at $843,000, about 1.7 percent of total revenue, which heightens the importance of identifying any positions that moved from temporary federal funding to the General Fund.</w:t>
      </w:r>
    </w:p>
    <w:p>
      <w:pPr>
        <w:pStyle w:val="ListBullet"/>
        <w:ind w:left="317" w:hanging="216"/>
      </w:pPr>
      <w:r>
        <w:t>The budget projects an ending unassigned fund balance of approximately $9.0 million, or 18.01 percent of expenditures.</w:t>
      </w:r>
    </w:p>
    <w:p>
      <w:r>
        <w:rPr>
          <w:b/>
          <w:color w:val="D97828"/>
        </w:rPr>
        <w:t xml:space="preserve">Accountability question  </w:t>
      </w:r>
      <w:r>
        <w:t>What long-term operating and capital plan shows that the current staffing model, facilities, and debt service are sustainable under realistic enrollment and revenue assumptions</w:t>
      </w:r>
    </w:p>
    <w:p>
      <w:pPr>
        <w:pStyle w:val="Heading2"/>
      </w:pPr>
      <w:r>
        <w:t>Records Needed for the Debt Review</w:t>
      </w:r>
    </w:p>
    <w:p>
      <w:pPr>
        <w:pStyle w:val="ListBullet"/>
        <w:ind w:left="317" w:hanging="216"/>
      </w:pPr>
      <w:r>
        <w:t>Bond issue schedules, principal, interest, maturities, call dates, and refinancing analyses</w:t>
      </w:r>
    </w:p>
    <w:p>
      <w:pPr>
        <w:pStyle w:val="ListBullet"/>
        <w:ind w:left="317" w:hanging="216"/>
      </w:pPr>
      <w:r>
        <w:t>Projects and assets financed by each issue, including expected useful life</w:t>
      </w:r>
    </w:p>
    <w:p>
      <w:pPr>
        <w:pStyle w:val="ListBullet"/>
        <w:ind w:left="317" w:hanging="216"/>
      </w:pPr>
      <w:r>
        <w:t>State reimbursement assumptions and actual receipts</w:t>
      </w:r>
    </w:p>
    <w:p>
      <w:pPr>
        <w:pStyle w:val="ListBullet"/>
        <w:ind w:left="317" w:hanging="216"/>
      </w:pPr>
      <w:r>
        <w:t>Facilities studies, capacity reports, capital plans, and deferred-maintenance schedules</w:t>
      </w:r>
    </w:p>
    <w:p>
      <w:r>
        <w:br w:type="page"/>
      </w:r>
    </w:p>
    <w:p>
      <w:pPr>
        <w:pStyle w:val="Heading1"/>
      </w:pPr>
      <w:r>
        <w:t>Other Findings Worth Developing</w:t>
      </w:r>
    </w:p>
    <w:p>
      <w:pPr>
        <w:pStyle w:val="Heading2"/>
      </w:pPr>
      <w:r>
        <w:t>Retention and Vacancy</w:t>
      </w:r>
    </w:p>
    <w:p>
      <w:pPr>
        <w:pStyle w:val="ListBullet"/>
        <w:ind w:left="317" w:hanging="216"/>
      </w:pPr>
      <w:r>
        <w:t>The 2024-25 retention file reports 194 of 209 classroom teachers retained in the same district and classroom role, a 92.9 percent retention rate.</w:t>
      </w:r>
    </w:p>
    <w:p>
      <w:pPr>
        <w:pStyle w:val="ListBullet"/>
        <w:ind w:left="317" w:hanging="216"/>
      </w:pPr>
      <w:r>
        <w:t>Nine teachers, or 4.3 percent of the reported group, exited Pennsylvania public education.</w:t>
      </w:r>
    </w:p>
    <w:p>
      <w:pPr>
        <w:pStyle w:val="ListBullet"/>
        <w:ind w:left="317" w:hanging="216"/>
      </w:pPr>
      <w:r>
        <w:t>The 2025-26 third-quarter vacancy report lists one unfilled professional vacancy in special education for life skills, autistic, and multiple-disability support.</w:t>
      </w:r>
    </w:p>
    <w:p>
      <w:r>
        <w:rPr>
          <w:b/>
          <w:color w:val="D97828"/>
        </w:rPr>
        <w:t xml:space="preserve">Use  </w:t>
      </w:r>
      <w:r>
        <w:t>These records do not suggest a broad retention crisis. They do support a targeted review of hard-to-fill special education services, caseloads, substitutes, contracted coverage, and compliance risk.</w:t>
      </w:r>
    </w:p>
    <w:p>
      <w:pPr>
        <w:pStyle w:val="Heading2"/>
      </w:pPr>
      <w:r>
        <w:t>Charter and Virtual Enrollment</w:t>
      </w:r>
    </w:p>
    <w:p>
      <w:pPr>
        <w:pStyle w:val="ListBullet"/>
        <w:ind w:left="317" w:hanging="216"/>
      </w:pPr>
      <w:r>
        <w:t>PDE reports 165 Lehighton resident students enrolled in charter schools in 2025-26.</w:t>
      </w:r>
    </w:p>
    <w:p>
      <w:pPr>
        <w:pStyle w:val="ListBullet"/>
        <w:ind w:left="317" w:hanging="216"/>
      </w:pPr>
      <w:r>
        <w:t>Commonwealth Charter Academy enrolled 129 of those students, about 78 percent of the charter total.</w:t>
      </w:r>
    </w:p>
    <w:p>
      <w:pPr>
        <w:pStyle w:val="ListBullet"/>
        <w:ind w:left="317" w:hanging="216"/>
      </w:pPr>
      <w:r>
        <w:t>Charter students represent about 7.5 percent of known district-plus-charter public enrollment for Lehighton residents.</w:t>
      </w:r>
    </w:p>
    <w:p>
      <w:r>
        <w:rPr>
          <w:b/>
          <w:color w:val="D97828"/>
        </w:rPr>
        <w:t xml:space="preserve">Use  </w:t>
      </w:r>
      <w:r>
        <w:t>Compare cyber charter tuition and outcomes with Lehighton Area Virtual Academy enrollment, staffing, vendor costs, withdrawals, student retention, and completion. Existing reports can show whether the local option is retaining students or reducing external tuition costs.</w:t>
      </w:r>
    </w:p>
    <w:p>
      <w:pPr>
        <w:pStyle w:val="Heading2"/>
      </w:pPr>
      <w:r>
        <w:t>Student Outcomes</w:t>
      </w:r>
    </w:p>
    <w:tbl>
      <w:tblPr>
        <w:tblW w:type="auto" w:w="0"/>
        <w:jc w:val="center"/>
        <w:tblLayout w:type="fixed"/>
        <w:tblLook w:firstColumn="1" w:firstRow="1" w:lastColumn="0" w:lastRow="0" w:noHBand="0" w:noVBand="1" w:val="04A0"/>
      </w:tblPr>
      <w:tblGrid>
        <w:gridCol w:w="2469"/>
        <w:gridCol w:w="2469"/>
        <w:gridCol w:w="2469"/>
        <w:gridCol w:w="2469"/>
      </w:tblGrid>
      <w:tr>
        <w:trPr>
          <w:tblHeader w:val="true"/>
        </w:trPr>
        <w:tc>
          <w:tcPr>
            <w:tcW w:type="dxa" w:w="34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Indicator</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Lehighton</w:t>
            </w:r>
          </w:p>
        </w:tc>
        <w:tc>
          <w:tcPr>
            <w:tcW w:type="dxa" w:w="165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Statewide</w:t>
            </w:r>
          </w:p>
        </w:tc>
        <w:tc>
          <w:tcPr>
            <w:tcW w:type="dxa" w:w="244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Reading</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Elementary ELA proficiency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38.5%</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49.9%</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Below statewide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Elementary math proficiency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41.1%</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41.7%</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Near statewide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Middle ELA proficiency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44.9%</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49.9%</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Below statewide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Middle math proficiency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29.9%</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41.7%</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Below statewide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High ELA proficiency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68.6%</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49.9%</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Above statewide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High math proficiency</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55.4%</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41.7%</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Above statewide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Four year graduation</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92.3%</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88.0%</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Above statewide</w:t>
            </w:r>
          </w:p>
        </w:tc>
      </w:tr>
      <w:tr>
        <w:tc>
          <w:tcPr>
            <w:tcW w:type="dxa" w:w="34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Regular attendance</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76.6%</w:t>
            </w:r>
          </w:p>
        </w:tc>
        <w:tc>
          <w:tcPr>
            <w:tcW w:type="dxa" w:w="165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79.6%</w:t>
            </w:r>
          </w:p>
        </w:tc>
        <w:tc>
          <w:tcPr>
            <w:tcW w:type="dxa" w:w="244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Below statewide</w:t>
            </w:r>
          </w:p>
        </w:tc>
      </w:tr>
    </w:tbl>
    <w:p>
      <w:pPr>
        <w:spacing w:after="20"/>
      </w:pPr>
    </w:p>
    <w:p>
      <w:r>
        <w:br w:type="page"/>
      </w:r>
    </w:p>
    <w:p>
      <w:pPr>
        <w:pStyle w:val="Heading1"/>
      </w:pPr>
      <w:r>
        <w:t>Outcome Questions and Data Conflicts</w:t>
      </w:r>
    </w:p>
    <w:p>
      <w:pPr>
        <w:pStyle w:val="Heading2"/>
      </w:pPr>
      <w:r>
        <w:t>A More Nuanced Outcome Story</w:t>
      </w:r>
    </w:p>
    <w:p>
      <w:pPr>
        <w:pStyle w:val="ListBullet"/>
        <w:ind w:left="317" w:hanging="216"/>
      </w:pPr>
      <w:r>
        <w:t>Elementary growth scores of 93 in ELA and 94 in mathematics exceed the state growth standard of 70 despite lower proficiency.</w:t>
      </w:r>
    </w:p>
    <w:p>
      <w:pPr>
        <w:pStyle w:val="ListBullet"/>
        <w:ind w:left="317" w:hanging="216"/>
      </w:pPr>
      <w:r>
        <w:t>Middle school growth scores of 78 in ELA and 77 in mathematics meet the state standard, but proficiency remains low, particularly in mathematics.</w:t>
      </w:r>
    </w:p>
    <w:p>
      <w:pPr>
        <w:pStyle w:val="ListBullet"/>
        <w:ind w:left="317" w:hanging="216"/>
      </w:pPr>
      <w:r>
        <w:t>High school ELA growth is 100 and mathematics growth is 70. Graduation and proficiency are strengths, while regular attendance remains a concern.</w:t>
      </w:r>
    </w:p>
    <w:p>
      <w:pPr>
        <w:pStyle w:val="ListBullet"/>
        <w:ind w:left="317" w:hanging="216"/>
      </w:pPr>
      <w:r>
        <w:t>The high school reports 100 percent completion of the career-standards benchmark, but industry-based learning is 2.6 percent compared with 41.1 percent statewide, and rigorous-course participation is 37.8 percent compared with 56.6 percent statewide.</w:t>
      </w:r>
    </w:p>
    <w:p>
      <w:r>
        <w:rPr>
          <w:b/>
          <w:color w:val="D97828"/>
        </w:rPr>
        <w:t xml:space="preserve">Interpretation  </w:t>
      </w:r>
      <w:r>
        <w:t>The results do not support a one-line judgment. Forge Change can ask whether the added classroom capacity is intentionally producing stronger growth and graduation outcomes, and why that capacity has not yet translated into stronger elementary and middle proficiency, attendance, or work-based learning access.</w:t>
      </w:r>
    </w:p>
    <w:p>
      <w:pPr>
        <w:pStyle w:val="Heading2"/>
      </w:pPr>
      <w:r>
        <w:t>State Reporting Conflicts to Reconcile</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316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State record</w:t>
            </w:r>
          </w:p>
        </w:tc>
        <w:tc>
          <w:tcPr>
            <w:tcW w:type="dxa" w:w="2520"/>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Reported count</w:t>
            </w:r>
          </w:p>
        </w:tc>
        <w:tc>
          <w:tcPr>
            <w:tcW w:type="dxa" w:w="3528"/>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Conflict</w:t>
            </w:r>
          </w:p>
        </w:tc>
      </w:tr>
      <w:tr>
        <w:tc>
          <w:tcPr>
            <w:tcW w:type="dxa" w:w="316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2025-26 professional summary</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214 full-time professionals</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Act 35 budgeted complement is 174</w:t>
            </w:r>
          </w:p>
        </w:tc>
      </w:tr>
      <w:tr>
        <w:tc>
          <w:tcPr>
            <w:tcW w:type="dxa" w:w="316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2025-26 professional summary</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185 full-time classroom teachers</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Retention file uses a 209-teacher group for 2024-25</w:t>
            </w:r>
          </w:p>
        </w:tc>
      </w:tr>
      <w:tr>
        <w:tc>
          <w:tcPr>
            <w:tcW w:type="dxa" w:w="316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2024-25 professional summary</w:t>
            </w:r>
          </w:p>
        </w:tc>
        <w:tc>
          <w:tcPr>
            <w:tcW w:type="dxa" w:w="2520"/>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188 full-time classroom teachers</w:t>
            </w:r>
          </w:p>
        </w:tc>
        <w:tc>
          <w:tcPr>
            <w:tcW w:type="dxa" w:w="3528"/>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Retention file uses 209 classroom teachers</w:t>
            </w:r>
          </w:p>
        </w:tc>
      </w:tr>
    </w:tbl>
    <w:p>
      <w:pPr>
        <w:spacing w:after="20"/>
      </w:pPr>
    </w:p>
    <w:p>
      <w:r>
        <w:rPr>
          <w:b/>
          <w:color w:val="D97828"/>
        </w:rPr>
        <w:t xml:space="preserve">Caution  </w:t>
      </w:r>
      <w:r>
        <w:t>These differences may arise from definitions, reporting dates, inclusion rules, or corrections. They are not proof of unbudgeted hiring or inaccurate reporting. The district submission files, PDE validation reports, and correspondence should explain the differences.</w:t>
      </w:r>
    </w:p>
    <w:p>
      <w:pPr>
        <w:pStyle w:val="Heading2"/>
      </w:pPr>
      <w:r>
        <w:t>What Forge Change Can Develop</w:t>
      </w:r>
    </w:p>
    <w:p>
      <w:pPr>
        <w:pStyle w:val="ListBullet"/>
        <w:ind w:left="317" w:hanging="216"/>
      </w:pPr>
      <w:r>
        <w:t>A position-by-position timeline explaining the 2021-22 classroom staffing increase</w:t>
      </w:r>
    </w:p>
    <w:p>
      <w:pPr>
        <w:pStyle w:val="ListBullet"/>
        <w:ind w:left="317" w:hanging="216"/>
      </w:pPr>
      <w:r>
        <w:t>A building and department staffing dashboard with enrollment, sections, caseloads, and cost</w:t>
      </w:r>
    </w:p>
    <w:p>
      <w:pPr>
        <w:pStyle w:val="ListBullet"/>
        <w:ind w:left="317" w:hanging="216"/>
      </w:pPr>
      <w:r>
        <w:t>A support-to-professional staffing map that identifies outsourcing and reclassification</w:t>
      </w:r>
    </w:p>
    <w:p>
      <w:pPr>
        <w:pStyle w:val="ListBullet"/>
        <w:ind w:left="317" w:hanging="216"/>
      </w:pPr>
      <w:r>
        <w:t>A debt and facilities timeline tied to projects, enrollment, capacity, and annual debt service</w:t>
      </w:r>
    </w:p>
    <w:p>
      <w:pPr>
        <w:pStyle w:val="ListBullet"/>
        <w:ind w:left="317" w:hanging="216"/>
      </w:pPr>
      <w:r>
        <w:t>A cyber charter and local virtual academy cost-and-outcome comparison</w:t>
      </w:r>
    </w:p>
    <w:p>
      <w:pPr>
        <w:pStyle w:val="ListBullet"/>
        <w:ind w:left="317" w:hanging="216"/>
      </w:pPr>
      <w:r>
        <w:t>A student-benefit scorecard connecting added capacity to stated objectives and measurable results</w:t>
      </w:r>
    </w:p>
    <w:p>
      <w:r>
        <w:br w:type="page"/>
      </w:r>
    </w:p>
    <w:p>
      <w:pPr>
        <w:pStyle w:val="Heading1"/>
      </w:pPr>
      <w:r>
        <w:t>Right to Know Action Plan</w:t>
      </w:r>
    </w:p>
    <w:p>
      <w:r>
        <w:rPr>
          <w:b/>
          <w:color w:val="D97828"/>
        </w:rPr>
        <w:t xml:space="preserve">Sequence matters  </w:t>
      </w:r>
      <w:r>
        <w:t>Use separate requests so that one disputed item does not delay the entire project. Request existing electronic records in native format. Ask for redacted records when exemptions apply and for an exemption log identifying the legal basis for each withheld portion.</w:t>
      </w:r>
    </w:p>
    <w:tbl>
      <w:tblPr>
        <w:tblW w:type="auto" w:w="0"/>
        <w:jc w:val="center"/>
        <w:tblLayout w:type="fixed"/>
        <w:tblLook w:firstColumn="1" w:firstRow="1" w:lastColumn="0" w:lastRow="0" w:noHBand="0" w:noVBand="1" w:val="04A0"/>
      </w:tblPr>
      <w:tblGrid>
        <w:gridCol w:w="3293"/>
        <w:gridCol w:w="3293"/>
        <w:gridCol w:w="3293"/>
      </w:tblGrid>
      <w:tr>
        <w:trPr>
          <w:tblHeader w:val="true"/>
        </w:trPr>
        <w:tc>
          <w:tcPr>
            <w:tcW w:type="dxa" w:w="93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Priority</w:t>
            </w:r>
          </w:p>
        </w:tc>
        <w:tc>
          <w:tcPr>
            <w:tcW w:type="dxa" w:w="381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Request</w:t>
            </w:r>
          </w:p>
        </w:tc>
        <w:tc>
          <w:tcPr>
            <w:tcW w:type="dxa" w:w="4536"/>
            <w:vAlign w:val="center"/>
            <w:shd w:fill="23384D"/>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b/>
                <w:color w:val="FFFFFF"/>
                <w:sz w:val="17"/>
              </w:rPr>
              <w:t>What it answers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1</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Position control and change records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Which positions changed and why</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2</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Master schedules and class sections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Whether staffing matches student demand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3</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Personnel costs and funding sources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What the staffing model costs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4</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PDE submission reconciliation</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Why state counts conflict</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5</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Special education staffing</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Whether added capacity meets mandated need</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ESSER and grant positions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Which jobs depended on temporary funds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7</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Charter and LAVA records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Cost and outcomes of virtual choices</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8</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Contracts and outsourcing</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Whether support work moved outside payroll</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left"/>
            </w:pPr>
            <w:r>
              <w:rPr>
                <w:rFonts w:ascii="Aptos" w:hAnsi="Aptos"/>
                <w:color w:val="000000"/>
                <w:sz w:val="17"/>
              </w:rPr>
              <w:t>9</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Debt facilities and capital records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tcPr>
          <w:p>
            <w:pPr>
              <w:spacing w:after="0"/>
              <w:jc w:val="center"/>
            </w:pPr>
            <w:r>
              <w:rPr>
                <w:rFonts w:ascii="Aptos" w:hAnsi="Aptos"/>
                <w:color w:val="000000"/>
                <w:sz w:val="17"/>
              </w:rPr>
              <w:t>Long-term affordability and capacity</w:t>
            </w:r>
          </w:p>
        </w:tc>
      </w:tr>
      <w:tr>
        <w:tc>
          <w:tcPr>
            <w:tcW w:type="dxa" w:w="9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left"/>
            </w:pPr>
            <w:r>
              <w:rPr>
                <w:rFonts w:ascii="Aptos" w:hAnsi="Aptos"/>
                <w:color w:val="000000"/>
                <w:sz w:val="17"/>
              </w:rPr>
              <w:t>10</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Enrollment movement and projections</w:t>
            </w:r>
          </w:p>
        </w:tc>
        <w:tc>
          <w:tcPr>
            <w:tcW w:type="dxa" w:w="4536"/>
            <w:vAlign w:val="center"/>
            <w:tcBorders>
              <w:top w:val="single" w:sz="6" w:color="D9D9D9"/>
              <w:left w:val="single" w:sz="6" w:color="D9D9D9"/>
              <w:bottom w:val="single" w:sz="6" w:color="D9D9D9"/>
              <w:right w:val="single" w:sz="6" w:color="D9D9D9"/>
              <w:insideH w:val="single" w:sz="6" w:color="D9D9D9"/>
              <w:insideV w:val="single" w:sz="6" w:color="D9D9D9"/>
            </w:tcBorders>
            <w:tcMar>
              <w:top w:w="90" w:type="dxa"/>
              <w:start w:w="95" w:type="dxa"/>
              <w:bottom w:w="90" w:type="dxa"/>
              <w:end w:w="95" w:type="dxa"/>
            </w:tcMar>
            <w:shd w:fill="EEF4F8"/>
          </w:tcPr>
          <w:p>
            <w:pPr>
              <w:spacing w:after="0"/>
              <w:jc w:val="center"/>
            </w:pPr>
            <w:r>
              <w:rPr>
                <w:rFonts w:ascii="Aptos" w:hAnsi="Aptos"/>
                <w:color w:val="000000"/>
                <w:sz w:val="17"/>
              </w:rPr>
              <w:t>Why enrollment changed and what comes next</w:t>
            </w:r>
          </w:p>
        </w:tc>
      </w:tr>
    </w:tbl>
    <w:p>
      <w:pPr>
        <w:spacing w:after="20"/>
      </w:pPr>
    </w:p>
    <w:p>
      <w:pPr>
        <w:pStyle w:val="Heading2"/>
      </w:pPr>
      <w:r>
        <w:t>Request Practices</w:t>
      </w:r>
    </w:p>
    <w:p>
      <w:pPr>
        <w:pStyle w:val="ListBullet"/>
        <w:ind w:left="317" w:hanging="216"/>
      </w:pPr>
      <w:r>
        <w:t>Use school years 2019-20 through 2025-26 unless a narrower period is stated.</w:t>
      </w:r>
    </w:p>
    <w:p>
      <w:pPr>
        <w:pStyle w:val="ListBullet"/>
        <w:ind w:left="317" w:hanging="216"/>
      </w:pPr>
      <w:r>
        <w:t>Ask for Excel, CSV, or other native electronic format rather than scanned PDF when the record exists as data.</w:t>
      </w:r>
    </w:p>
    <w:p>
      <w:pPr>
        <w:pStyle w:val="ListBullet"/>
        <w:ind w:left="317" w:hanging="216"/>
      </w:pPr>
      <w:r>
        <w:t>Request existing reports and exports, not a newly created analysis.</w:t>
      </w:r>
    </w:p>
    <w:p>
      <w:pPr>
        <w:pStyle w:val="ListBullet"/>
        <w:ind w:left="317" w:hanging="216"/>
      </w:pPr>
      <w:r>
        <w:t>Permit redaction of names where necessary, while preserving position, location, assignment, status, dates, salary, and funding source.</w:t>
      </w:r>
    </w:p>
    <w:p>
      <w:pPr>
        <w:pStyle w:val="ListBullet"/>
        <w:ind w:left="317" w:hanging="216"/>
      </w:pPr>
      <w:r>
        <w:t>Ask the Open Records Officer to identify the record system and provide a reasonable opportunity to narrow any request claimed to be burdensome.</w:t>
      </w:r>
    </w:p>
    <w:p>
      <w:r>
        <w:rPr>
          <w:b/>
          <w:color w:val="D97828"/>
        </w:rPr>
        <w:t xml:space="preserve">Suggested first wave  </w:t>
      </w:r>
      <w:r>
        <w:t>File Requests 1 through 4 first. Their results will determine how narrowly to draft the special education, grant, virtual academy, contracting, debt, and enrollment follow-ups.</w:t>
      </w:r>
    </w:p>
    <w:p>
      <w:r>
        <w:br w:type="page"/>
      </w:r>
    </w:p>
    <w:p>
      <w:pPr>
        <w:pStyle w:val="Heading1"/>
      </w:pPr>
      <w:r>
        <w:t>Copy Ready Requests</w:t>
      </w:r>
    </w:p>
    <w:p>
      <w:pPr>
        <w:pStyle w:val="Heading2"/>
        <w:keepNext/>
      </w:pPr>
      <w:r>
        <w:t>Request 1  Position Control and Staffing Changes</w:t>
      </w:r>
    </w:p>
    <w:p>
      <w:r>
        <w:rPr>
          <w:b/>
          <w:color w:val="D97828"/>
        </w:rPr>
        <w:t xml:space="preserve">Purpose  </w:t>
      </w:r>
      <w:r>
        <w:t>Identify every position added, eliminated, restored, reclassified, or moved during the enrollment decline and isolate the 2021-22 increase.</w:t>
      </w:r>
    </w:p>
    <w:p>
      <w:pPr>
        <w:spacing w:before="60" w:after="200"/>
        <w:ind w:left="360" w:right="216"/>
      </w:pPr>
      <w:r>
        <w:t>Please provide the district position-control report or equivalent existing record for school years 2019-20 through 2025-26. For each position, please include school or department, job title, assignment or subject, full-time or part-time status, FTE if maintained, bargaining unit or employee category, filled or vacant status, funding source, and the dates the position was created, eliminated, restored, reclassified, or transferred. Please also provide existing board agendas, memoranda, staffing plans, or recommendations supporting each position change, with particular attention to classroom positions added or restored for 2021-22. Employee names may be redacted if necessary.</w:t>
      </w:r>
    </w:p>
    <w:p>
      <w:pPr>
        <w:pStyle w:val="Heading2"/>
        <w:keepNext/>
      </w:pPr>
      <w:r>
        <w:t>Request 2  Master Schedules and Class Sections</w:t>
      </w:r>
    </w:p>
    <w:p>
      <w:r>
        <w:rPr>
          <w:b/>
          <w:color w:val="D97828"/>
        </w:rPr>
        <w:t xml:space="preserve">Purpose  </w:t>
      </w:r>
      <w:r>
        <w:t>Measure actual class size, course access, and under-enrolled sections by building.</w:t>
      </w:r>
    </w:p>
    <w:p>
      <w:pPr>
        <w:spacing w:before="60" w:after="200"/>
        <w:ind w:left="360" w:right="216"/>
      </w:pPr>
      <w:r>
        <w:t>Please provide the final master schedule, section roster or section-count export, and course catalog for each district school for school years 2019-20, 2021-22, and 2025-26. For each section, please include school, course or grade, subject, section identifier, assigned staff position, enrolled student count, room, and instructional period. Student names and identifiers are not requested. Please provide the records in native electronic format when available.</w:t>
      </w:r>
    </w:p>
    <w:p>
      <w:pPr>
        <w:pStyle w:val="Heading2"/>
        <w:keepNext/>
      </w:pPr>
      <w:r>
        <w:t>Request 3  Personnel Costs and Staffing Mix</w:t>
      </w:r>
    </w:p>
    <w:p>
      <w:r>
        <w:rPr>
          <w:b/>
          <w:color w:val="D97828"/>
        </w:rPr>
        <w:t xml:space="preserve">Purpose  </w:t>
      </w:r>
      <w:r>
        <w:t>Determine the cost of professional growth and support-staff reduction.</w:t>
      </w:r>
    </w:p>
    <w:p>
      <w:pPr>
        <w:spacing w:before="60" w:after="200"/>
        <w:ind w:left="360" w:right="216"/>
      </w:pPr>
      <w:r>
        <w:t>Please provide existing annual payroll or position-cost reports for school years 2019-20 through 2025-26 showing, by position, regular salary or wages, overtime, stipends, employer retirement contributions, employer health-benefit cost, payroll taxes, and total employer cost. Please include professional staff, support staff, substitutes, and temporary staff, plus any report showing full-time and part-time hours or FTE. Names may be redacted if necessary, but please retain position title, school or department, employee category, status, and funding source.</w:t>
      </w:r>
    </w:p>
    <w:p>
      <w:r>
        <w:br w:type="page"/>
      </w:r>
    </w:p>
    <w:p>
      <w:pPr>
        <w:pStyle w:val="Heading2"/>
        <w:keepNext/>
      </w:pPr>
      <w:r>
        <w:t>Request 4  PDE Staffing Reconciliation</w:t>
      </w:r>
    </w:p>
    <w:p>
      <w:r>
        <w:rPr>
          <w:b/>
          <w:color w:val="D97828"/>
        </w:rPr>
        <w:t xml:space="preserve">Purpose  </w:t>
      </w:r>
      <w:r>
        <w:t>Explain inconsistent staffing totals across official state files.</w:t>
      </w:r>
    </w:p>
    <w:p>
      <w:pPr>
        <w:spacing w:before="60" w:after="200"/>
        <w:ind w:left="360" w:right="216"/>
      </w:pPr>
      <w:r>
        <w:t>Please provide the district source files, submission extracts, validation reports, error reports, certification pages, correction records, and correspondence with PDE concerning the Professional Staff Summary, the 2024-25 to 2025-26 Classroom Teacher Retention collection, and the 2025-26 Act 35 professional staffing collection. Please include existing records that reconcile the 214 full-time professional staff and 185 full-time classroom teachers in the 2025-26 professional summary, the 209-teacher group in the retention file, and the 174 budgeted professional complement in the Act 35 file.</w:t>
      </w:r>
    </w:p>
    <w:p>
      <w:pPr>
        <w:pStyle w:val="Heading2"/>
        <w:keepNext/>
      </w:pPr>
      <w:r>
        <w:t>Request 5  Special Education Staffing and Services</w:t>
      </w:r>
    </w:p>
    <w:p>
      <w:r>
        <w:rPr>
          <w:b/>
          <w:color w:val="D97828"/>
        </w:rPr>
        <w:t xml:space="preserve">Purpose  </w:t>
      </w:r>
      <w:r>
        <w:t>Test whether staffing changes reflect mandated services and explain the reported vacancy.</w:t>
      </w:r>
    </w:p>
    <w:p>
      <w:pPr>
        <w:spacing w:before="60" w:after="200"/>
        <w:ind w:left="360" w:right="216"/>
      </w:pPr>
      <w:r>
        <w:t>Please provide existing annual reports for school years 2019-20 through 2025-26 showing special education enrollment by disability category and building, instructional and related-service staffing by position and FTE, teacher and related-service caseloads, contracted-service costs, due-process and compensatory-education costs, and unfilled positions. Please also provide existing staffing analyses, corrective-action plans, or service plans related to the 2025-26 vacancy reported for life skills, autistic, and multiple-disability support.</w:t>
      </w:r>
    </w:p>
    <w:p>
      <w:pPr>
        <w:pStyle w:val="Heading2"/>
        <w:keepNext/>
      </w:pPr>
      <w:r>
        <w:t>Request 6  ESSER Grants and Temporary Positions</w:t>
      </w:r>
    </w:p>
    <w:p>
      <w:r>
        <w:rPr>
          <w:b/>
          <w:color w:val="D97828"/>
        </w:rPr>
        <w:t xml:space="preserve">Purpose  </w:t>
      </w:r>
      <w:r>
        <w:t>Identify positions created with temporary funds and any later General Fund obligation.</w:t>
      </w:r>
    </w:p>
    <w:p>
      <w:pPr>
        <w:spacing w:before="60" w:after="200"/>
        <w:ind w:left="360" w:right="216"/>
      </w:pPr>
      <w:r>
        <w:t>Please provide the approved application, amendment, budget, expenditure report, position list, and closeout record for ESSER I, ESSER II, ARP ESSER, and other federal or state grants used for personnel from 2020-21 through 2025-26. For each funded position, please provide job title, FTE, school or department, grant funding period, amount charged to the grant, and any existing record showing whether the position ended, remained vacant, or moved to the General Fund after the grant expired.</w:t>
      </w:r>
    </w:p>
    <w:p>
      <w:pPr>
        <w:pStyle w:val="Heading2"/>
        <w:keepNext/>
      </w:pPr>
      <w:r>
        <w:t>Request 7  Charter Tuition and Lehighton Area Virtual Academy</w:t>
      </w:r>
    </w:p>
    <w:p>
      <w:r>
        <w:rPr>
          <w:b/>
          <w:color w:val="D97828"/>
        </w:rPr>
        <w:t xml:space="preserve">Purpose  </w:t>
      </w:r>
      <w:r>
        <w:t>Compare external cyber charter use with the district virtual option.</w:t>
      </w:r>
    </w:p>
    <w:p>
      <w:pPr>
        <w:spacing w:before="60" w:after="200"/>
        <w:ind w:left="360" w:right="216"/>
      </w:pPr>
      <w:r>
        <w:t>Please provide existing annual reports for school years 2019-20 through 2025-26 showing resident charter and cyber charter enrollment by school, tuition paid, special education tuition, transportation or related cost, and district projections. Please also provide existing records for Lehighton Area Virtual Academy showing enrollment, entries, withdrawals, return-to-building counts, graduation or completion, staffing, vendor and technology costs, payments by contract, and any cost-per-student or performance comparisons maintained by the district. Student names and identifiers are not requested.</w:t>
      </w:r>
    </w:p>
    <w:p>
      <w:r>
        <w:br w:type="page"/>
      </w:r>
    </w:p>
    <w:p>
      <w:pPr>
        <w:pStyle w:val="Heading2"/>
        <w:keepNext/>
      </w:pPr>
      <w:r>
        <w:t>Request 8  Contracts Consultants and Outsourcing</w:t>
      </w:r>
    </w:p>
    <w:p>
      <w:r>
        <w:rPr>
          <w:b/>
          <w:color w:val="D97828"/>
        </w:rPr>
        <w:t xml:space="preserve">Purpose  </w:t>
      </w:r>
      <w:r>
        <w:t>Determine whether support work moved to vendors or consultants.</w:t>
      </w:r>
    </w:p>
    <w:p>
      <w:pPr>
        <w:spacing w:before="60" w:after="200"/>
        <w:ind w:left="360" w:right="216"/>
      </w:pPr>
      <w:r>
        <w:t>Please provide the district contract register, accounts-payable vendor export, and all contracts, amendments, scopes of work, invoices, and board approvals for professional services, staffing services, management or business-office consulting, educational consulting, technology services, custodial services, transportation services, food services, nursing or therapy services, substitute staffing, and other outsourced work for school years 2019-20 through 2025-26. Please provide native electronic vendor data when available.</w:t>
      </w:r>
    </w:p>
    <w:p>
      <w:pPr>
        <w:pStyle w:val="Heading2"/>
        <w:keepNext/>
      </w:pPr>
      <w:r>
        <w:t>Request 9  Debt Facilities and Capital Planning</w:t>
      </w:r>
    </w:p>
    <w:p>
      <w:r>
        <w:rPr>
          <w:b/>
          <w:color w:val="D97828"/>
        </w:rPr>
        <w:t xml:space="preserve">Purpose  </w:t>
      </w:r>
      <w:r>
        <w:t>Connect debt obligations to buildings, assets, capacity, and long-term affordability.</w:t>
      </w:r>
    </w:p>
    <w:p>
      <w:pPr>
        <w:spacing w:before="60" w:after="200"/>
        <w:ind w:left="360" w:right="216"/>
      </w:pPr>
      <w:r>
        <w:t>Please provide the current debt schedule and records for each outstanding General Fund bond issue, including issue date, original principal, current principal, interest rates, annual principal and interest, maturity dates, call provisions, refinancing or refunding analyses, issuance costs, and state reimbursement assumptions or receipts. Please also provide existing facilities studies, enrollment-capacity analyses, feasibility studies, capital plans, deferred-maintenance schedules, project budgets, change-order logs, and board presentations for school years 2019-20 through 2025-26.</w:t>
      </w:r>
    </w:p>
    <w:p>
      <w:pPr>
        <w:pStyle w:val="Heading2"/>
        <w:keepNext/>
      </w:pPr>
      <w:r>
        <w:t>Request 10  Enrollment Movement and Forecasts</w:t>
      </w:r>
    </w:p>
    <w:p>
      <w:r>
        <w:rPr>
          <w:b/>
          <w:color w:val="D97828"/>
        </w:rPr>
        <w:t xml:space="preserve">Purpose  </w:t>
      </w:r>
      <w:r>
        <w:t>Explain the decline and test future staffing assumptions.</w:t>
      </w:r>
    </w:p>
    <w:p>
      <w:pPr>
        <w:spacing w:before="60" w:after="200"/>
        <w:ind w:left="360" w:right="216"/>
      </w:pPr>
      <w:r>
        <w:t>Please provide existing enrollment reports for school years 2019-20 through 2025-26 showing entries, withdrawals, transfers, charter movement, private or home-school movement if maintained, and resident versus nonresident status by grade and school. Please also provide enrollment projections, demographic studies, housing-development assumptions, birth-data analyses, model documentation, annual projection-to-actual comparisons, and records showing how enrollment projections were used in staffing, budget, or facilities decisions.</w:t>
      </w:r>
    </w:p>
    <w:p>
      <w:r>
        <w:br w:type="page"/>
      </w:r>
    </w:p>
    <w:p>
      <w:pPr>
        <w:pStyle w:val="Heading1"/>
      </w:pPr>
      <w:r>
        <w:t>Sources and Limitations</w:t>
      </w:r>
    </w:p>
    <w:p>
      <w:pPr>
        <w:pStyle w:val="Heading2"/>
      </w:pPr>
      <w:r>
        <w:t>Public Sources Used</w:t>
      </w:r>
    </w:p>
    <w:p>
      <w:pPr>
        <w:spacing w:after="60"/>
      </w:pPr>
      <w:hyperlink r:id="rId10">
        <w:r>
          <w:rPr>
            <w:color w:val="23384D"/>
            <w:u w:val="single"/>
          </w:rPr>
          <w:t>Pennsylvania Department of Education enrollment data</w:t>
        </w:r>
      </w:hyperlink>
    </w:p>
    <w:p>
      <w:pPr>
        <w:spacing w:after="60"/>
      </w:pPr>
      <w:hyperlink r:id="rId11">
        <w:r>
          <w:rPr>
            <w:color w:val="23384D"/>
            <w:u w:val="single"/>
          </w:rPr>
          <w:t>PDE professional and support personnel data</w:t>
        </w:r>
      </w:hyperlink>
    </w:p>
    <w:p>
      <w:pPr>
        <w:spacing w:after="60"/>
      </w:pPr>
      <w:hyperlink r:id="rId12">
        <w:r>
          <w:rPr>
            <w:color w:val="23384D"/>
            <w:u w:val="single"/>
          </w:rPr>
          <w:t>Future Ready PA Index</w:t>
        </w:r>
      </w:hyperlink>
    </w:p>
    <w:p>
      <w:pPr>
        <w:spacing w:after="60"/>
      </w:pPr>
      <w:hyperlink r:id="rId13">
        <w:r>
          <w:rPr>
            <w:color w:val="23384D"/>
            <w:u w:val="single"/>
          </w:rPr>
          <w:t>Lehighton Area School District 2025 26 final budget</w:t>
        </w:r>
      </w:hyperlink>
    </w:p>
    <w:p>
      <w:pPr>
        <w:pStyle w:val="Heading2"/>
      </w:pPr>
      <w:r>
        <w:t>Important Limitations</w:t>
      </w:r>
    </w:p>
    <w:p>
      <w:pPr>
        <w:pStyle w:val="ListBullet"/>
        <w:ind w:left="317" w:hanging="216"/>
      </w:pPr>
      <w:r>
        <w:t>Enrollment is a student count reported in PDE files and may differ from average daily membership or other funding measures.</w:t>
      </w:r>
    </w:p>
    <w:p>
      <w:pPr>
        <w:pStyle w:val="ListBullet"/>
        <w:ind w:left="317" w:hanging="216"/>
      </w:pPr>
      <w:r>
        <w:t>Professional staff figures are full-time headcounts in PDE summary files, not FTE totals.</w:t>
      </w:r>
    </w:p>
    <w:p>
      <w:pPr>
        <w:pStyle w:val="ListBullet"/>
        <w:ind w:left="317" w:hanging="216"/>
      </w:pPr>
      <w:r>
        <w:t>The support-personnel comparison combines full-time and part-time people. Part-time hours are not available in the public summary.</w:t>
      </w:r>
    </w:p>
    <w:p>
      <w:pPr>
        <w:pStyle w:val="ListBullet"/>
        <w:ind w:left="317" w:hanging="216"/>
      </w:pPr>
      <w:r>
        <w:t>Students per teacher is not average class size. Only section-level schedules can establish actual class size and course load.</w:t>
      </w:r>
    </w:p>
    <w:p>
      <w:pPr>
        <w:pStyle w:val="ListBullet"/>
        <w:ind w:left="317" w:hanging="216"/>
      </w:pPr>
      <w:r>
        <w:t>State reporting collections may use different definitions, dates, and inclusion rules. Conflicting totals require reconciliation before conclusions are drawn.</w:t>
      </w:r>
    </w:p>
    <w:p>
      <w:pPr>
        <w:pStyle w:val="ListBullet"/>
        <w:ind w:left="317" w:hanging="216"/>
      </w:pPr>
      <w:r>
        <w:t>Budget per student and debt per student are simple derived calculations for orientation, not official accounting or PDE expenditure metrics.</w:t>
      </w:r>
    </w:p>
    <w:p>
      <w:pPr>
        <w:pStyle w:val="ListBullet"/>
        <w:ind w:left="317" w:hanging="216"/>
      </w:pPr>
      <w:r>
        <w:t>Student outcomes are associated with the staffing period but do not, by themselves, prove that staffing changes caused the results.</w:t>
      </w:r>
    </w:p>
    <w:p>
      <w:pPr>
        <w:pStyle w:val="Heading2"/>
      </w:pPr>
      <w:r>
        <w:t>Bottom Line for Coach Dave</w:t>
      </w:r>
    </w:p>
    <w:p>
      <w:r>
        <w:t>Lehighton lost more than 300 students from its 2019-20 high point while adding 26 full-time classroom teachers. Its current students-per-teacher ratio is among the lowest in Carbon County. That is a legitimate accountability question, especially because the largest staffing increase occurred in a single year. But the same records show that support personnel fell substantially, student growth and graduation provide evidence of benefit in some areas, and special education and virtual-school needs may explain part of the shift. The strongest case will come from position-level records, class sections, costs, outcomes, and funding sources rather than the ratio alone. The district debt and facilities plan should be reviewed at the same time because long-term staffing choices operate within a $50.1 million budget and a large outstanding bond obligation.</w:t>
      </w:r>
    </w:p>
    <w:p>
      <w:r>
        <w:rPr>
          <w:b/>
          <w:color w:val="D97828"/>
        </w:rPr>
        <w:t xml:space="preserve">Recommended framing  </w:t>
      </w:r>
      <w:r>
        <w:t>Ask the district to show the need, cost, funding source, and measurable student benefit for each material staffing change, then test those explanations against actual sections, caseloads, services, outcomes, enrollment, and debt capacity.</w:t>
      </w:r>
    </w:p>
    <w:sectPr w:rsidR="00FC693F" w:rsidRPr="0006063C" w:rsidSect="00034616">
      <w:footerReference w:type="default" r:id="rId9"/>
      <w:pgSz w:w="12240" w:h="15840"/>
      <w:pgMar w:top="893" w:right="1181" w:bottom="893"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66666"/>
        <w:sz w:val="18"/>
      </w:rPr>
      <w:t xml:space="preserve">Forge Change  |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spacing w:after="60"/>
      <w:contextualSpacing/>
    </w:pPr>
    <w:rPr>
      <w:rFonts w:ascii="Aptos" w:hAnsi="Aptos"/>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pa.gov/agencies/education/data-and-reporting/enrollment" TargetMode="External"/><Relationship Id="rId11" Type="http://schemas.openxmlformats.org/officeDocument/2006/relationships/hyperlink" Target="https://www.pa.gov/agencies/education/data-and-reporting/school-staff/professional-and-support-personnel" TargetMode="External"/><Relationship Id="rId12" Type="http://schemas.openxmlformats.org/officeDocument/2006/relationships/hyperlink" Target="https://futurereadypa.org/" TargetMode="External"/><Relationship Id="rId13" Type="http://schemas.openxmlformats.org/officeDocument/2006/relationships/hyperlink" Target="https://resources.finalsite.net/images/v1751112696/lehightonorg/nmx5axziurhtecshwkjh/Final20252026Budg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