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pPr>
      <w:r>
        <w:rPr>
          <w:rFonts w:ascii="Aptos" w:hAnsi="Aptos"/>
          <w:b/>
          <w:color w:val="D97828"/>
          <w:sz w:val="22"/>
        </w:rPr>
        <w:t>FORGE CHANGE</w:t>
      </w:r>
    </w:p>
    <w:p>
      <w:pPr>
        <w:pStyle w:val="Title"/>
      </w:pPr>
      <w:r>
        <w:t>Pleasant Valley Enrollment Staffing and Accountability Review</w:t>
      </w:r>
    </w:p>
    <w:p>
      <w:pPr>
        <w:spacing w:after="440"/>
      </w:pPr>
      <w:r>
        <w:rPr>
          <w:rFonts w:ascii="Aptos Display" w:hAnsi="Aptos Display"/>
          <w:sz w:val="32"/>
        </w:rPr>
        <w:t>Research Summary and Right to Know Action Plan</w:t>
      </w:r>
    </w:p>
    <w:p>
      <w:pPr>
        <w:spacing w:after="80"/>
      </w:pPr>
      <w:r>
        <w:rPr>
          <w:b/>
          <w:color w:val="D97828"/>
        </w:rPr>
        <w:t xml:space="preserve">Prepared for  </w:t>
      </w:r>
      <w:r>
        <w:t>Coach Dave  Director of Educational Theater</w:t>
      </w:r>
    </w:p>
    <w:p>
      <w:pPr>
        <w:spacing w:after="80"/>
      </w:pPr>
      <w:r>
        <w:rPr>
          <w:b/>
          <w:color w:val="D97828"/>
        </w:rPr>
        <w:t xml:space="preserve">Prepared by  </w:t>
      </w:r>
      <w:r>
        <w:t>Raeann Hofkin and Forge Change</w:t>
      </w:r>
    </w:p>
    <w:p>
      <w:pPr>
        <w:spacing w:after="80"/>
      </w:pPr>
      <w:r>
        <w:rPr>
          <w:b/>
          <w:color w:val="D97828"/>
        </w:rPr>
        <w:t xml:space="preserve">Date  </w:t>
      </w:r>
      <w:r>
        <w:t>September 2026</w:t>
      </w:r>
    </w:p>
    <w:p>
      <w:pPr>
        <w:spacing w:after="80"/>
      </w:pPr>
      <w:r>
        <w:rPr>
          <w:b/>
          <w:color w:val="D97828"/>
        </w:rPr>
        <w:t xml:space="preserve">Subject  </w:t>
      </w:r>
      <w:r>
        <w:t>Pleasant Valley School District enrollment staffing services costs facilities and outcomes</w:t>
      </w:r>
    </w:p>
    <w:p>
      <w:pPr>
        <w:spacing w:after="440"/>
      </w:pPr>
    </w:p>
    <w:p>
      <w:pPr>
        <w:spacing w:before="700" w:after="0"/>
      </w:pPr>
      <w:r>
        <w:rPr>
          <w:b/>
          <w:sz w:val="24"/>
        </w:rPr>
        <w:t>Central question</w:t>
      </w:r>
    </w:p>
    <w:p>
      <w:pPr>
        <w:spacing w:after="0"/>
      </w:pPr>
      <w:r>
        <w:rPr>
          <w:b/>
          <w:sz w:val="30"/>
        </w:rPr>
        <w:t>As enrollment and classroom staffing declined, did class size or student services suffer, and why does the state support staffing record appear incomplete</w:t>
      </w:r>
    </w:p>
    <w:p>
      <w:r>
        <w:br w:type="page"/>
      </w:r>
    </w:p>
    <w:p>
      <w:pPr>
        <w:pStyle w:val="Heading1"/>
      </w:pPr>
      <w:r>
        <w:t>Executive Summary</w:t>
      </w:r>
    </w:p>
    <w:p>
      <w:r>
        <w:rPr>
          <w:b/>
          <w:color w:val="D97828"/>
        </w:rPr>
        <w:t xml:space="preserve">Main conclusion  </w:t>
      </w:r>
      <w:r>
        <w:t>Pleasant Valley does not show the same pattern as Lehighton. From 2019-20 through 2025-26, enrollment fell by 384 students while the full-time classroom-teacher count fell by 55. The student-to-teacher ratio therefore increased from 13.9 to 15.4, the highest ratio among Monroe County school districts. The available evidence supports questions about service capacity, staffing reductions, school reconfiguration, and outcomes rather than a claim that the district maintained too many teachers.</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District enrollment</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4,393</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4,009</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-384  -8.7%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Classroom teachers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316</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261</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-55  -17.4%</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411</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322</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-89  -21.7%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Administrators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17</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  +6.3%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Coordinated services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71</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  -43.7%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Students per classroom teacher</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13.9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15.4</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Reported support personnel</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333</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Requires reconciliation</w:t>
            </w:r>
          </w:p>
        </w:tc>
      </w:tr>
    </w:tbl>
    <w:p>
      <w:pPr>
        <w:spacing w:after="20"/>
      </w:pPr>
    </w:p>
    <w:p>
      <w:pPr>
        <w:pStyle w:val="Heading2"/>
      </w:pPr>
      <w:r>
        <w:t>What the Evidence Supports</w:t>
      </w:r>
    </w:p>
    <w:p>
      <w:pPr>
        <w:pStyle w:val="ListBullet"/>
        <w:ind w:left="317" w:hanging="216"/>
      </w:pPr>
      <w:r>
        <w:t>Pleasant Valley lost 671 students from 2016-17 through 2025-26, a 14.3 percent decline. The six-year decline from 2019-20 was 384 students.</w:t>
      </w:r>
    </w:p>
    <w:p>
      <w:pPr>
        <w:pStyle w:val="ListBullet"/>
        <w:ind w:left="317" w:hanging="216"/>
      </w:pPr>
      <w:r>
        <w:t>The teacher count declined faster than enrollment, moving the district toward larger staffing loads by this broad measure.</w:t>
      </w:r>
    </w:p>
    <w:p>
      <w:pPr>
        <w:pStyle w:val="ListBullet"/>
        <w:ind w:left="317" w:hanging="216"/>
      </w:pPr>
      <w:r>
        <w:t>PDE reports 15.4 students per full-time classroom teacher in Pleasant Valley compared with a Monroe County median of about 12.6.</w:t>
      </w:r>
    </w:p>
    <w:p>
      <w:pPr>
        <w:pStyle w:val="ListBullet"/>
        <w:ind w:left="317" w:hanging="216"/>
      </w:pPr>
      <w:r>
        <w:t>The support-personnel file reports only eight employees in 2025-26 after reporting 333 in 2019-20. That result is inconsistent with the size and budget of the district and should be treated as a reporting or classification question until reconciled.</w:t>
      </w:r>
    </w:p>
    <w:p>
      <w:pPr>
        <w:pStyle w:val="ListBullet"/>
        <w:ind w:left="317" w:hanging="216"/>
      </w:pPr>
      <w:r>
        <w:t>Student outcomes are mixed. Intermediate mathematics is a strength, while middle school proficiency and growth, high school mathematics growth, rigorous-course participation, and postsecondary transition warrant attention.</w:t>
      </w:r>
    </w:p>
    <w:p>
      <w:pPr>
        <w:pStyle w:val="ListBullet"/>
        <w:ind w:left="317" w:hanging="216"/>
      </w:pPr>
      <w:r>
        <w:t>The district is undertaking a major high school renovation and reported $72.64 million in bond principal outstanding at June 30 2025.</w:t>
      </w:r>
    </w:p>
    <w:p>
      <w:pPr>
        <w:pStyle w:val="Heading2"/>
      </w:pPr>
      <w:r>
        <w:t>Recommended Next Step</w:t>
      </w:r>
    </w:p>
    <w:p>
      <w:r>
        <w:t>Begin with position control, master schedules, support-staff reconciliation, and personnel-cost records. Those files can establish whether the staffing reductions were deliberate, whether services moved to contractors, and whether class size, special education, intervention, electives, or student support changed.</w:t>
      </w:r>
    </w:p>
    <w:p>
      <w:r>
        <w:br w:type="page"/>
      </w:r>
    </w:p>
    <w:p>
      <w:pPr>
        <w:pStyle w:val="Heading1"/>
      </w:pPr>
      <w:r>
        <w:t>Enrollment Findings</w:t>
      </w:r>
    </w:p>
    <w:p>
      <w:r>
        <w:rPr>
          <w:b/>
          <w:color w:val="D97828"/>
        </w:rPr>
        <w:t xml:space="preserve">Verified trend  </w:t>
      </w:r>
      <w:r>
        <w:t>PDE records show a long decline interrupted by the unusually low 2020-21 count and a partial rebound. Current enrollment remains 384 students below 2019-20 and 854 below 2015-16.</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School year</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Enrollment</w:t>
            </w:r>
          </w:p>
        </w:tc>
        <w:tc>
          <w:tcPr>
            <w:tcW w:type="dxa" w:w="36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Change from prior year</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2015-16</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4,863</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2016-17</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4,680</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-183</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2017-18</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4,604</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-76</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2018-19</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4,522</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-82</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2019-20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4,393</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-129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2020-21</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3,792</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-601</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2021-22</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4,085</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+293</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2022-23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4,203</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+118</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2023-24</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4,176</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-27</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2024-25</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4,030</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-146</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2025-26</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4,009</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-21</w:t>
            </w:r>
          </w:p>
        </w:tc>
      </w:tr>
    </w:tbl>
    <w:p>
      <w:pPr>
        <w:spacing w:after="20"/>
      </w:pPr>
    </w:p>
    <w:p>
      <w:pPr>
        <w:pStyle w:val="Heading2"/>
      </w:pPr>
      <w:r>
        <w:t>School Enrollment and Grade Reconfiguration</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74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Raw change</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Elementary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1,187</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887</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-300</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Intermediate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1,008</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913</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-95</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Middle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699</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928</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+229</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High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1,499</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1,232</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-267</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District level record</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0</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49</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+49</w:t>
            </w:r>
          </w:p>
        </w:tc>
      </w:tr>
    </w:tbl>
    <w:p>
      <w:pPr>
        <w:spacing w:after="20"/>
      </w:pPr>
    </w:p>
    <w:p>
      <w:r>
        <w:rPr>
          <w:b/>
          <w:color w:val="D97828"/>
        </w:rPr>
        <w:t xml:space="preserve">Important limitation  </w:t>
      </w:r>
      <w:r>
        <w:t>The school totals are not a clean like-for-like comparison. In 2019-20, the elementary school primarily served kindergarten through grade 3, the intermediate school grades 4 through 6, and the middle school grades 7 and 8. In 2025-26, the configuration was kindergarten through grade 2, grades 3 through 5, and grades 6 through 8. The apparent middle school increase largely reflects the addition of grade 6.</w:t>
      </w:r>
    </w:p>
    <w:p>
      <w:r>
        <w:br w:type="page"/>
      </w:r>
    </w:p>
    <w:p>
      <w:pPr>
        <w:pStyle w:val="Heading1"/>
      </w:pPr>
      <w:r>
        <w:t>Enrollment Outlook</w:t>
      </w:r>
    </w:p>
    <w:p>
      <w:r>
        <w:rPr>
          <w:b/>
          <w:color w:val="D97828"/>
        </w:rPr>
        <w:t xml:space="preserve">PDE projection  </w:t>
      </w:r>
      <w:r>
        <w:t>The state projection anticipated 3,947 students for 2025-26, while reported enrollment was 4,009. Actual enrollment exceeded the projection by 62 students. The model projects gradual decline to 3,813 by 2034-35, about 196 students below the current count.</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 year</w:t>
            </w:r>
          </w:p>
        </w:tc>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Projected enrollment</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2025-26</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3,947</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2026-27</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3,925</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2027-28</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3,908</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2028-29</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3,906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2029-30</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3,911</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2030-31</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3,917</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2031-32</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3,892</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2032-33</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3,881</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2033-34</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3,870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2034-35</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3,813</w:t>
            </w:r>
          </w:p>
        </w:tc>
      </w:tr>
    </w:tbl>
    <w:p>
      <w:pPr>
        <w:spacing w:after="20"/>
      </w:pPr>
    </w:p>
    <w:p>
      <w:pPr>
        <w:pStyle w:val="Heading2"/>
      </w:pPr>
      <w:r>
        <w:t>Current Grade Pipeline</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16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Grade group</w:t>
            </w:r>
          </w:p>
        </w:tc>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 students</w:t>
            </w:r>
          </w:p>
        </w:tc>
        <w:tc>
          <w:tcPr>
            <w:tcW w:type="dxa" w:w="39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Observation</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Kindergarten through grade 4</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1,523</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Individual grades range from 281 to 329</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Grades 5 through 8</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1,239</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Individual grades range from 297 to 329</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Grades 9 through 12</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1,247</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Grade 12 is the largest class at 346</w:t>
            </w:r>
          </w:p>
        </w:tc>
      </w:tr>
    </w:tbl>
    <w:p>
      <w:pPr>
        <w:spacing w:after="20"/>
      </w:pPr>
    </w:p>
    <w:p>
      <w:pPr>
        <w:pStyle w:val="Heading2"/>
      </w:pPr>
      <w:r>
        <w:t>Questions Raised by the Outlook</w:t>
      </w:r>
    </w:p>
    <w:p>
      <w:pPr>
        <w:pStyle w:val="ListBullet"/>
        <w:ind w:left="317" w:hanging="216"/>
      </w:pPr>
      <w:r>
        <w:t>What local demographic and housing assumptions are used in district projections</w:t>
      </w:r>
    </w:p>
    <w:p>
      <w:pPr>
        <w:pStyle w:val="ListBullet"/>
        <w:ind w:left="317" w:hanging="216"/>
      </w:pPr>
      <w:r>
        <w:t>How did the grade reconfiguration change building capacity, transportation, staffing, and course access</w:t>
      </w:r>
    </w:p>
    <w:p>
      <w:pPr>
        <w:pStyle w:val="ListBullet"/>
        <w:ind w:left="317" w:hanging="216"/>
      </w:pPr>
      <w:r>
        <w:t>What are the intended capacity and utilization targets for each renovated or existing building</w:t>
      </w:r>
    </w:p>
    <w:p>
      <w:pPr>
        <w:pStyle w:val="ListBullet"/>
        <w:ind w:left="317" w:hanging="216"/>
      </w:pPr>
      <w:r>
        <w:t>How are district-level, virtual, alternative, or other students represented in the 49-student district record</w:t>
      </w:r>
    </w:p>
    <w:p>
      <w:r>
        <w:rPr>
          <w:b/>
          <w:color w:val="D97828"/>
        </w:rPr>
        <w:t xml:space="preserve">Caution  </w:t>
      </w:r>
      <w:r>
        <w:t>The grade pipeline does not show a uniform decline. Projections should be updated annually and compared with actual enrollment before staffing or construction assumptions are extended into future budgets.</w:t>
      </w:r>
    </w:p>
    <w:p>
      <w:r>
        <w:br w:type="page"/>
      </w:r>
    </w:p>
    <w:p>
      <w:pPr>
        <w:pStyle w:val="Heading1"/>
      </w:pPr>
      <w:r>
        <w:t>Classroom Staffing Findings</w:t>
      </w:r>
    </w:p>
    <w:p>
      <w:r>
        <w:rPr>
          <w:b/>
          <w:color w:val="D97828"/>
        </w:rPr>
        <w:t xml:space="preserve">Verified trend  </w:t>
      </w:r>
      <w:r>
        <w:t>Full-time classroom teachers declined from 316 in 2019-20 to 261 in 2025-26. The largest one-year decline was 38 teachers between 2021-22 and 2022-23.</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School year</w:t>
            </w:r>
          </w:p>
        </w:tc>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Enrollment</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Classroom teachers</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Students per teacher</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2016-17</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4,680</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326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14.4</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2017-18</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4,604</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321</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14.3</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2018-19</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4,522</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320</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14.1</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2019-20</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4,393</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316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13.9</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2020-21</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3,792</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303</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12.5</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2021-22</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4,085</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286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14.3</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2022-23</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4,203</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248</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16.9</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2023-24</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4,176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246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17.0</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2024-25</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4,030</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251</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16.1</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2025-26</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4,009</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261</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15.4</w:t>
            </w:r>
          </w:p>
        </w:tc>
      </w:tr>
    </w:tbl>
    <w:p>
      <w:pPr>
        <w:spacing w:after="20"/>
      </w:pPr>
    </w:p>
    <w:p>
      <w:pPr>
        <w:pStyle w:val="Heading2"/>
      </w:pPr>
      <w:r>
        <w:t>The Key Break in the Series</w:t>
      </w:r>
    </w:p>
    <w:p>
      <w:pPr>
        <w:pStyle w:val="ListBullet"/>
        <w:ind w:left="317" w:hanging="216"/>
      </w:pPr>
      <w:r>
        <w:t>Enrollment increased by 118 students from 2021-22 to 2022-23 while classroom teachers declined by 38.</w:t>
      </w:r>
    </w:p>
    <w:p>
      <w:pPr>
        <w:pStyle w:val="ListBullet"/>
        <w:ind w:left="317" w:hanging="216"/>
      </w:pPr>
      <w:r>
        <w:t>All full-time professional staff declined by 49 over the same year.</w:t>
      </w:r>
    </w:p>
    <w:p>
      <w:pPr>
        <w:pStyle w:val="ListBullet"/>
        <w:ind w:left="317" w:hanging="216"/>
      </w:pPr>
      <w:r>
        <w:t>Teacher staffing has since recovered by 13 positions, but the current count remains 55 below 2019-20.</w:t>
      </w:r>
    </w:p>
    <w:p>
      <w:pPr>
        <w:pStyle w:val="ListBullet"/>
        <w:ind w:left="317" w:hanging="216"/>
      </w:pPr>
      <w:r>
        <w:t>The public summary does not explain layoffs, retirements, vacancies, outsourcing, grant expirations, program changes, or assignment reclassification.</w:t>
      </w:r>
    </w:p>
    <w:p>
      <w:r>
        <w:rPr>
          <w:b/>
          <w:color w:val="D97828"/>
        </w:rPr>
        <w:t xml:space="preserve">Most important test  </w:t>
      </w:r>
      <w:r>
        <w:t>Obtain position-level change records and master schedules for 2019-20, 2021-22, 2022-23, and 2025-26. The records should show which courses, services, intervention positions, and student supports changed when staffing fell.</w:t>
      </w:r>
    </w:p>
    <w:p>
      <w:pPr>
        <w:pStyle w:val="Heading2"/>
      </w:pPr>
      <w:r>
        <w:t>How to Read the Ratio</w:t>
      </w:r>
    </w:p>
    <w:p>
      <w:r>
        <w:t>Students per classroom teacher is a staffing-intensity measure, not average class size. It does not show planning periods, special education assignments, electives, intervention, co-teaching, vacancies, or section enrollment. Actual class-size questions require master schedules and section rosters without student names.</w:t>
      </w:r>
    </w:p>
    <w:p>
      <w:r>
        <w:br w:type="page"/>
      </w:r>
    </w:p>
    <w:p>
      <w:pPr>
        <w:pStyle w:val="Heading1"/>
      </w:pPr>
      <w:r>
        <w:t>Monroe County Comparison</w:t>
      </w:r>
    </w:p>
    <w:p>
      <w:r>
        <w:rPr>
          <w:b/>
          <w:color w:val="D97828"/>
        </w:rPr>
        <w:t xml:space="preserve">Current comparison  </w:t>
      </w:r>
      <w:r>
        <w:t>Pleasant Valley had the highest students-per-teacher ratio among Monroe County districts in 2025-26. A higher number means more enrolled students for each reported full-time classroom teacher.</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24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District</w:t>
            </w:r>
          </w:p>
        </w:tc>
        <w:tc>
          <w:tcPr>
            <w:tcW w:type="dxa" w:w="194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23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Classroom teachers</w:t>
            </w:r>
          </w:p>
        </w:tc>
        <w:tc>
          <w:tcPr>
            <w:tcW w:type="dxa" w:w="23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Students per teacher</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Pocono Mountain</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7,776</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696</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11.2</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Stroudsburg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4,260</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343</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12.4</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East Stroudsburg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6,245</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491</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12.7</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Pleasant Valley</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4,009</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261</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15.4</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County median</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12.6</w:t>
            </w:r>
          </w:p>
        </w:tc>
      </w:tr>
    </w:tbl>
    <w:p>
      <w:pPr>
        <w:spacing w:after="20"/>
      </w:pPr>
    </w:p>
    <w:p>
      <w:pPr>
        <w:pStyle w:val="Heading2"/>
      </w:pPr>
      <w:r>
        <w:t>What the Comparison Can and Cannot Show</w:t>
      </w:r>
    </w:p>
    <w:p>
      <w:pPr>
        <w:pStyle w:val="ListBullet"/>
        <w:ind w:left="317" w:hanging="216"/>
      </w:pPr>
      <w:r>
        <w:t>The comparison establishes that Pleasant Valley operates with fewer classroom teachers per student than its county peers.</w:t>
      </w:r>
    </w:p>
    <w:p>
      <w:pPr>
        <w:pStyle w:val="ListBullet"/>
        <w:ind w:left="317" w:hanging="216"/>
      </w:pPr>
      <w:r>
        <w:t>It does not establish excessive class sizes or inadequate staffing because district programs, special education delivery, course offerings, and contracted services differ.</w:t>
      </w:r>
    </w:p>
    <w:p>
      <w:pPr>
        <w:pStyle w:val="ListBullet"/>
        <w:ind w:left="317" w:hanging="216"/>
      </w:pPr>
      <w:r>
        <w:t>Pleasant Valley serves 20.8 percent special education students according to Future Ready fast facts, making caseload and service-delivery records especially important.</w:t>
      </w:r>
    </w:p>
    <w:p>
      <w:r>
        <w:rPr>
          <w:b/>
          <w:color w:val="D97828"/>
        </w:rPr>
        <w:t xml:space="preserve">Forge Change use  </w:t>
      </w:r>
      <w:r>
        <w:t>The strongest accountability question is whether the leaner staffing model preserved reasonable class sizes, legally required services, electives, intervention, and measurable student progress.</w:t>
      </w:r>
    </w:p>
    <w:p>
      <w:pPr>
        <w:pStyle w:val="Heading2"/>
      </w:pPr>
      <w:r>
        <w:t>A Practical Capacity Test</w:t>
      </w:r>
    </w:p>
    <w:p>
      <w:pPr>
        <w:pStyle w:val="ListNumber"/>
        <w:ind w:left="403" w:hanging="259"/>
      </w:pPr>
      <w:r>
        <w:t>Identify all positions removed, restored, reclassified, or left vacant by school and assignment.</w:t>
      </w:r>
    </w:p>
    <w:p>
      <w:pPr>
        <w:pStyle w:val="ListNumber"/>
        <w:ind w:left="403" w:hanging="259"/>
      </w:pPr>
      <w:r>
        <w:t>Measure class sections, student loads, special education caseloads, and course availability before and after each staffing change.</w:t>
      </w:r>
    </w:p>
    <w:p>
      <w:pPr>
        <w:pStyle w:val="ListNumber"/>
        <w:ind w:left="403" w:hanging="259"/>
      </w:pPr>
      <w:r>
        <w:t>Determine whether services moved to contractors or other employee classifications.</w:t>
      </w:r>
    </w:p>
    <w:p>
      <w:pPr>
        <w:pStyle w:val="ListNumber"/>
        <w:ind w:left="403" w:hanging="259"/>
      </w:pPr>
      <w:r>
        <w:t>Compare the intended savings and benefits with student outcomes, complaints, compliance records, and budget results.</w:t>
      </w:r>
    </w:p>
    <w:p>
      <w:r>
        <w:br w:type="page"/>
      </w:r>
    </w:p>
    <w:p>
      <w:pPr>
        <w:pStyle w:val="Heading1"/>
      </w:pPr>
      <w:r>
        <w:t>Professional and Support Staffing</w:t>
      </w:r>
    </w:p>
    <w:p>
      <w:r>
        <w:rPr>
          <w:b/>
          <w:color w:val="D97828"/>
        </w:rPr>
        <w:t xml:space="preserve">Professional staff  </w:t>
      </w:r>
      <w:r>
        <w:t>From 2019-20 through 2025-26, reductions were concentrated in classroom teachers and coordinated-service professionals. Administration increased by one full-time position.</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Professional category</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08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Classroom teachers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316</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261</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-55  -17.4%</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Administrators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17</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  +6.3%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Coordinated services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71</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40</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-31  -43.7%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Other professionals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  -55.6%</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411</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322</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-89  -21.7%</w:t>
            </w:r>
          </w:p>
        </w:tc>
      </w:tr>
    </w:tbl>
    <w:p>
      <w:pPr>
        <w:spacing w:after="20"/>
      </w:pPr>
    </w:p>
    <w:p>
      <w:pPr>
        <w:pStyle w:val="Heading2"/>
      </w:pPr>
      <w:r>
        <w:t>Support Personnel Reporting Anomaly</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4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Support category</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2019 20</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2025 26</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Instructional aides</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77 full time  73 part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School administration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22 full time  1 part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Library and media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5 full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0 reported</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LEA administration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17 full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All other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76 full time  62 part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Total support people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333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8</w:t>
            </w:r>
          </w:p>
        </w:tc>
      </w:tr>
    </w:tbl>
    <w:p>
      <w:pPr>
        <w:spacing w:after="20"/>
      </w:pPr>
    </w:p>
    <w:p>
      <w:r>
        <w:rPr>
          <w:b/>
          <w:color w:val="D97828"/>
        </w:rPr>
        <w:t xml:space="preserve">Interpretation  </w:t>
      </w:r>
      <w:r>
        <w:t>A 97.6 percent reduction in reported support people is not credible as an operating conclusion without reconciliation. The file may reflect incomplete reporting, classification, outsourcing, or another data problem. Obtain the district submission, payroll position counts, and contractor records before using this figure publicly.</w:t>
      </w:r>
    </w:p>
    <w:p>
      <w:pPr>
        <w:pStyle w:val="Heading2"/>
      </w:pPr>
      <w:r>
        <w:t>Salary Context</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classroom-teacher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$76,960</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$89,012</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administrator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$96,349</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$109,660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all-professional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$78,812</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$90,260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teacher experience</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16.67 years</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teacher service in district</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15.47 years</w:t>
            </w:r>
          </w:p>
        </w:tc>
      </w:tr>
    </w:tbl>
    <w:p>
      <w:pPr>
        <w:spacing w:after="20"/>
      </w:pPr>
    </w:p>
    <w:p>
      <w:r>
        <w:rPr>
          <w:b/>
          <w:color w:val="D97828"/>
        </w:rPr>
        <w:t xml:space="preserve">Salary comparison  </w:t>
      </w:r>
      <w:r>
        <w:t>Teacher pay is near the Monroe County median, while average administrator pay is the lowest of the four districts. These nominal averages do not account for inflation, role mix, contract days, education, or benefits.</w:t>
      </w:r>
    </w:p>
    <w:p>
      <w:pPr>
        <w:pStyle w:val="Heading1"/>
      </w:pPr>
      <w:r>
        <w:t>Financial and Capital Snapshot</w:t>
      </w:r>
    </w:p>
    <w:p>
      <w:r>
        <w:rPr>
          <w:b/>
          <w:color w:val="D97828"/>
        </w:rPr>
        <w:t xml:space="preserve">Budget context  </w:t>
      </w:r>
      <w:r>
        <w:t>The 2025-26 General Fund budget totals $116.1 million. The 2025 audit reports an unmodified opinion, no reportable financial-statement or federal-award findings, and strong General Fund results for 2024-25. At the same time, the district has taken on major new debt for building improvements and the high school renovation.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Budget item</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2025 26 amount</w:t>
            </w:r>
          </w:p>
        </w:tc>
        <w:tc>
          <w:tcPr>
            <w:tcW w:type="dxa" w:w="309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Share or context</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Total expenditures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$116,099,470</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100.0%</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Instruction</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$66,812,907</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57.5%</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Support services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$40,831,036</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35.2%</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Student activities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$1,468,777</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Debt service and other financing</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$6,186,750</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5.3%</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Budgetary reserve</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$800,000</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0.7%</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Federal revenue</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$1,561,892</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1.3% of revenue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Beginning fund balances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$31,274,536</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Budget estimate</w:t>
            </w:r>
          </w:p>
        </w:tc>
      </w:tr>
    </w:tbl>
    <w:p>
      <w:pPr>
        <w:spacing w:after="20"/>
      </w:pPr>
    </w:p>
    <w:p>
      <w:pPr>
        <w:pStyle w:val="Heading2"/>
      </w:pPr>
      <w:r>
        <w:t>Debt and Construction</w:t>
      </w:r>
    </w:p>
    <w:p>
      <w:pPr>
        <w:pStyle w:val="ListBullet"/>
        <w:ind w:left="317" w:hanging="216"/>
      </w:pPr>
      <w:r>
        <w:t>The audit reports $72.64 million in outstanding bond principal at June 30 2025, plus approximately $45.10 million in scheduled interest through 2045.</w:t>
      </w:r>
    </w:p>
    <w:p>
      <w:pPr>
        <w:pStyle w:val="ListBullet"/>
        <w:ind w:left="317" w:hanging="216"/>
      </w:pPr>
      <w:r>
        <w:t>The district issued $38.235 million in Series 2025 bonds for capital improvements including high school renovations.</w:t>
      </w:r>
    </w:p>
    <w:p>
      <w:pPr>
        <w:pStyle w:val="ListBullet"/>
        <w:ind w:left="317" w:hanging="216"/>
      </w:pPr>
      <w:r>
        <w:t>The district also issued $14.645 million in Series 2023 bonds and $13.745 million in Series A 2024 bonds for capital improvements.</w:t>
      </w:r>
    </w:p>
    <w:p>
      <w:pPr>
        <w:pStyle w:val="ListBullet"/>
        <w:ind w:left="317" w:hanging="216"/>
      </w:pPr>
      <w:r>
        <w:t>The audit reports approximately $68.57 million in the construction fund and $31.90 million in capital reserve at June 30 2025.</w:t>
      </w:r>
    </w:p>
    <w:p>
      <w:pPr>
        <w:pStyle w:val="ListBullet"/>
        <w:ind w:left="317" w:hanging="216"/>
      </w:pPr>
      <w:r>
        <w:t>The district budgeted a 2.03 percent real-estate millage increase for 2025-26, from 25.1083 to 25.6157 mills.</w:t>
      </w:r>
    </w:p>
    <w:p>
      <w:pPr>
        <w:pStyle w:val="Heading2"/>
      </w:pPr>
      <w:r>
        <w:t>Useful Derived Measures</w:t>
      </w:r>
    </w:p>
    <w:p>
      <w:pPr>
        <w:pStyle w:val="ListBullet"/>
        <w:ind w:left="317" w:hanging="216"/>
      </w:pPr>
      <w:r>
        <w:t>Budgeted expenditure is approximately $28,960 per current district student. This is a simple budget-to-enrollment calculation, not an official PDE per-pupil expenditure measure.</w:t>
      </w:r>
    </w:p>
    <w:p>
      <w:pPr>
        <w:pStyle w:val="ListBullet"/>
        <w:ind w:left="317" w:hanging="216"/>
      </w:pPr>
      <w:r>
        <w:t>Outstanding bond principal equals approximately $18,120 per current district student. This should be evaluated with the assets financed, project scope, useful life, reimbursement, and remaining capital funds.</w:t>
      </w:r>
    </w:p>
    <w:p>
      <w:pPr>
        <w:pStyle w:val="ListBullet"/>
        <w:ind w:left="317" w:hanging="216"/>
      </w:pPr>
      <w:r>
        <w:t>The 2025 audit reports General Fund revenue of $119.13 million and expenditures of $107.92 million, a difference of approximately $11.21 million for the year.</w:t>
      </w:r>
    </w:p>
    <w:p>
      <w:r>
        <w:rPr>
          <w:b/>
          <w:color w:val="D97828"/>
        </w:rPr>
        <w:t xml:space="preserve">Accountability question  </w:t>
      </w:r>
      <w:r>
        <w:t>Can the district show that its leaner staffing model and major capital program are coordinated through a long-term plan for enrollment, building capacity, educational programming, taxes, and debt service</w:t>
      </w:r>
    </w:p>
    <w:p>
      <w:r>
        <w:br w:type="page"/>
      </w:r>
    </w:p>
    <w:p>
      <w:pPr>
        <w:pStyle w:val="Heading1"/>
      </w:pPr>
      <w:r>
        <w:t>Other Findings Worth Developing</w:t>
      </w:r>
    </w:p>
    <w:p>
      <w:pPr>
        <w:pStyle w:val="Heading2"/>
      </w:pPr>
      <w:r>
        <w:t>Retention and Vacancies</w:t>
      </w:r>
    </w:p>
    <w:p>
      <w:pPr>
        <w:pStyle w:val="ListBullet"/>
        <w:ind w:left="317" w:hanging="216"/>
      </w:pPr>
      <w:r>
        <w:t>The 2024-25 retention file reports 233 of 251 classroom teachers retained in the same district and classroom role, a 92.8 percent retention rate.</w:t>
      </w:r>
    </w:p>
    <w:p>
      <w:pPr>
        <w:pStyle w:val="ListBullet"/>
        <w:ind w:left="317" w:hanging="216"/>
      </w:pPr>
      <w:r>
        <w:t>Thirteen teachers, or 5.2 percent of the group, exited Pennsylvania public education.</w:t>
      </w:r>
    </w:p>
    <w:p>
      <w:pPr>
        <w:pStyle w:val="ListBullet"/>
        <w:ind w:left="317" w:hanging="216"/>
      </w:pPr>
      <w:r>
        <w:t>Five teachers moved to classroom positions in another LEA, and two moved to non-classroom positions in another LEA.</w:t>
      </w:r>
    </w:p>
    <w:p>
      <w:pPr>
        <w:pStyle w:val="ListBullet"/>
        <w:ind w:left="317" w:hanging="216"/>
      </w:pPr>
      <w:r>
        <w:t>The third-quarter vacancy report lists Pleasant Valley among districts reporting no professional vacancies. The Act 35 file reports one vacant position at budget adoption, suggesting the vacancy may have been filled or definitions differ.</w:t>
      </w:r>
    </w:p>
    <w:p>
      <w:r>
        <w:rPr>
          <w:b/>
          <w:color w:val="D97828"/>
        </w:rPr>
        <w:t xml:space="preserve">Use  </w:t>
      </w:r>
      <w:r>
        <w:t>Retention appears stable, but it should be considered alongside the earlier staffing reductions, substitute use, unfilled support roles, and special education caseloads.</w:t>
      </w:r>
    </w:p>
    <w:p>
      <w:pPr>
        <w:pStyle w:val="Heading2"/>
      </w:pPr>
      <w:r>
        <w:t>Charter and Cyber Enrollment</w:t>
      </w:r>
    </w:p>
    <w:p>
      <w:pPr>
        <w:pStyle w:val="ListBullet"/>
        <w:ind w:left="317" w:hanging="216"/>
      </w:pPr>
      <w:r>
        <w:t>PDE reports 393 Pleasant Valley resident students enrolled in charter schools in 2025-26.</w:t>
      </w:r>
    </w:p>
    <w:p>
      <w:pPr>
        <w:pStyle w:val="ListBullet"/>
        <w:ind w:left="317" w:hanging="216"/>
      </w:pPr>
      <w:r>
        <w:t>Commonwealth Charter Academy enrolled 281 of those students, about 71.5 percent of the charter total.</w:t>
      </w:r>
    </w:p>
    <w:p>
      <w:pPr>
        <w:pStyle w:val="ListBullet"/>
        <w:ind w:left="317" w:hanging="216"/>
      </w:pPr>
      <w:r>
        <w:t>Charter students represent approximately 8.9 percent of known district-plus-charter public enrollment for Pleasant Valley residents.</w:t>
      </w:r>
    </w:p>
    <w:p>
      <w:pPr>
        <w:pStyle w:val="ListBullet"/>
        <w:ind w:left="317" w:hanging="216"/>
      </w:pPr>
      <w:r>
        <w:t>The largest other placements were Pennsylvania Cyber Charter School with 23 students and REACH Cyber Charter School with 16.</w:t>
      </w:r>
    </w:p>
    <w:p>
      <w:r>
        <w:rPr>
          <w:b/>
          <w:color w:val="D97828"/>
        </w:rPr>
        <w:t xml:space="preserve">Use  </w:t>
      </w:r>
      <w:r>
        <w:t>Obtain tuition, special education cost, student movement, performance, and any district virtual-program records. The goal is to understand why families leave, whether students return, and how the district compares its own options with cyber charter tuition.</w:t>
      </w:r>
    </w:p>
    <w:p>
      <w:pPr>
        <w:pStyle w:val="Heading2"/>
      </w:pPr>
      <w:r>
        <w:t>Student Population</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53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Future Ready indicator</w:t>
            </w:r>
          </w:p>
        </w:tc>
        <w:tc>
          <w:tcPr>
            <w:tcW w:type="dxa" w:w="36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District share</w:t>
            </w:r>
          </w:p>
        </w:tc>
      </w:tr>
      <w:tr>
        <w:tc>
          <w:tcPr>
            <w:tcW w:type="dxa" w:w="53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Economically disadvantaged</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36.9%</w:t>
            </w:r>
          </w:p>
        </w:tc>
      </w:tr>
      <w:tr>
        <w:tc>
          <w:tcPr>
            <w:tcW w:type="dxa" w:w="53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Special education</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20.8%</w:t>
            </w:r>
          </w:p>
        </w:tc>
      </w:tr>
      <w:tr>
        <w:tc>
          <w:tcPr>
            <w:tcW w:type="dxa" w:w="53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English learners</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w:t>
            </w:r>
          </w:p>
        </w:tc>
      </w:tr>
      <w:tr>
        <w:tc>
          <w:tcPr>
            <w:tcW w:type="dxa" w:w="53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Gifted students</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5.9%</w:t>
            </w:r>
          </w:p>
        </w:tc>
      </w:tr>
      <w:tr>
        <w:tc>
          <w:tcPr>
            <w:tcW w:type="dxa" w:w="53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Career and technical center enrollment</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278 students</w:t>
            </w:r>
          </w:p>
        </w:tc>
      </w:tr>
    </w:tbl>
    <w:p>
      <w:pPr>
        <w:spacing w:after="20"/>
      </w:pPr>
    </w:p>
    <w:p>
      <w:r>
        <w:br w:type="page"/>
      </w:r>
    </w:p>
    <w:p>
      <w:pPr>
        <w:pStyle w:val="Heading1"/>
      </w:pPr>
      <w:r>
        <w:t>Student Outcomes</w:t>
      </w:r>
    </w:p>
    <w:p>
      <w:r>
        <w:rPr>
          <w:b/>
          <w:color w:val="D97828"/>
        </w:rPr>
        <w:t xml:space="preserve">Outcome pattern  </w:t>
      </w:r>
      <w:r>
        <w:t>Performance varies considerably by school, subject, and measure. The elementary school serves kindergarten through grade 2, so state assessment measures do not apply there.</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School and indicator</w:t>
            </w:r>
          </w:p>
        </w:tc>
        <w:tc>
          <w:tcPr>
            <w:tcW w:type="dxa" w:w="18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Pleasant Valley</w:t>
            </w:r>
          </w:p>
        </w:tc>
        <w:tc>
          <w:tcPr>
            <w:tcW w:type="dxa" w:w="18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Statewide</w:t>
            </w:r>
          </w:p>
        </w:tc>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6"/>
              </w:rPr>
              <w:t>Reading</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Intermediate ELA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40.4%</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49.9%</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Below statewide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Intermediate math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56.5%</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41.7%</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Above statewide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Intermediate ELA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50</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Below standard</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Intermediate math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69</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Near standard</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Middle ELA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41.9%</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49.9%</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Below statewide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Middle math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32.8%</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41.7%</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Below statewide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Middle ELA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50</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Below standard</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Middle math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60</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Below standard</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High ELA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67.4%</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49.9%</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Above statewide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High math proficiency</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39.6%</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41.7%</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Slightly below</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6"/>
              </w:rPr>
              <w:t>High ELA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95</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6"/>
              </w:rPr>
              <w:t>Above standard</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6"/>
              </w:rPr>
              <w:t>High math growth</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50</w:t>
            </w:r>
          </w:p>
        </w:tc>
        <w:tc>
          <w:tcPr>
            <w:tcW w:type="dxa" w:w="18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Standard 70</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6"/>
              </w:rPr>
              <w:t>Below standard</w:t>
            </w:r>
          </w:p>
        </w:tc>
      </w:tr>
    </w:tbl>
    <w:p>
      <w:pPr>
        <w:spacing w:after="20"/>
      </w:pPr>
    </w:p>
    <w:p>
      <w:pPr>
        <w:pStyle w:val="Heading2"/>
      </w:pPr>
      <w:r>
        <w:t>High School Readiness Indicators</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Indicator</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Pleasant Valley</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Statewide</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Regular attendance</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86.7%</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79.6%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Four year graduation</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90.2%</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88.0%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Career standards benchmark</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95.4%</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91.5%</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Industry based learning</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30.0%</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41.1%</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Rigorous courses of study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46.3%</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56.6%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Postsecondary transition</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72.6%</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76.5%</w:t>
            </w:r>
          </w:p>
        </w:tc>
      </w:tr>
    </w:tbl>
    <w:p>
      <w:pPr>
        <w:spacing w:after="20"/>
      </w:pPr>
    </w:p>
    <w:p>
      <w:r>
        <w:rPr>
          <w:b/>
          <w:color w:val="D97828"/>
        </w:rPr>
        <w:t xml:space="preserve">Interpretation  </w:t>
      </w:r>
      <w:r>
        <w:t>Intermediate mathematics, high school ELA, attendance, graduation, and career-standards completion are relative strengths. Middle school growth in both tested subjects and high school mathematics growth are the clearest academic concerns. Industry-based learning, rigorous-course participation, and postsecondary transition also trail statewide results.</w:t>
      </w:r>
    </w:p>
    <w:p>
      <w:pPr>
        <w:pStyle w:val="Heading2"/>
      </w:pPr>
      <w:r>
        <w:t>What Forge Change Can Develop</w:t>
      </w:r>
    </w:p>
    <w:p>
      <w:pPr>
        <w:pStyle w:val="ListBullet"/>
        <w:ind w:left="317" w:hanging="216"/>
      </w:pPr>
      <w:r>
        <w:t>A staffing-reduction timeline connected to class sections, caseloads, courses, and services</w:t>
      </w:r>
    </w:p>
    <w:p>
      <w:pPr>
        <w:pStyle w:val="ListBullet"/>
        <w:ind w:left="317" w:hanging="216"/>
      </w:pPr>
      <w:r>
        <w:t>A support-staff reconciliation that distinguishes employees, contractors, reporting errors, and classification changes</w:t>
      </w:r>
    </w:p>
    <w:p>
      <w:pPr>
        <w:pStyle w:val="Heading1"/>
      </w:pPr>
      <w:r>
        <w:t>Right to Know Action Plan</w:t>
      </w:r>
    </w:p>
    <w:p>
      <w:r>
        <w:rPr>
          <w:b/>
          <w:color w:val="D97828"/>
        </w:rPr>
        <w:t xml:space="preserve">Sequence matters  </w:t>
      </w:r>
      <w:r>
        <w:t>Use separate requests so one disputed item does not delay the entire project. Request existing electronic records in native format. Ask for redacted records when exemptions apply and for an exemption log identifying the legal basis for each withheld portion.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9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Priority</w:t>
            </w:r>
          </w:p>
        </w:tc>
        <w:tc>
          <w:tcPr>
            <w:tcW w:type="dxa" w:w="381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Request</w:t>
            </w:r>
          </w:p>
        </w:tc>
        <w:tc>
          <w:tcPr>
            <w:tcW w:type="dxa" w:w="45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What it answers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1</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Position control and staffing changes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Which positions disappeared or returned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Master schedules and class sections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student loads increased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3</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Support staffing reconciliation</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Why PDE reports only eight people</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4</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Personnel costs and funding sources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What staffing changes saved or shifted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5</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Contracts and outsourcing</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Whether services moved outside payroll</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Special education staffing</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mandated services have capacity</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7</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Grade configuration and enrollment</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How school assignments and capacity changed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8</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Charter cyber and virtual records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Why students leave and what it costs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9</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Grants interventions and outcomes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What temporary funding produced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10</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Debt renovation and capital records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Project scope cost and affordability</w:t>
            </w:r>
          </w:p>
        </w:tc>
      </w:tr>
    </w:tbl>
    <w:p>
      <w:pPr>
        <w:spacing w:after="20"/>
      </w:pPr>
    </w:p>
    <w:p>
      <w:pPr>
        <w:pStyle w:val="Heading2"/>
      </w:pPr>
      <w:r>
        <w:t>Request Practices</w:t>
      </w:r>
    </w:p>
    <w:p>
      <w:pPr>
        <w:pStyle w:val="ListBullet"/>
        <w:ind w:left="317" w:hanging="216"/>
      </w:pPr>
      <w:r>
        <w:t>Use school years 2019-20 through 2025-26 unless a narrower period is stated.</w:t>
      </w:r>
    </w:p>
    <w:p>
      <w:pPr>
        <w:pStyle w:val="ListBullet"/>
        <w:ind w:left="317" w:hanging="216"/>
      </w:pPr>
      <w:r>
        <w:t>Ask for Excel, CSV, or other native electronic format instead of scanned PDF when the record exists as data.</w:t>
      </w:r>
    </w:p>
    <w:p>
      <w:pPr>
        <w:pStyle w:val="ListBullet"/>
        <w:ind w:left="317" w:hanging="216"/>
      </w:pPr>
      <w:r>
        <w:t>Request existing reports and exports, not a newly created analysis.</w:t>
      </w:r>
    </w:p>
    <w:p>
      <w:pPr>
        <w:pStyle w:val="ListBullet"/>
        <w:ind w:left="317" w:hanging="216"/>
      </w:pPr>
      <w:r>
        <w:t>Permit redaction of names where necessary while preserving position, location, assignment, status, dates, salary, and funding source.</w:t>
      </w:r>
    </w:p>
    <w:p>
      <w:pPr>
        <w:pStyle w:val="ListBullet"/>
        <w:ind w:left="317" w:hanging="216"/>
      </w:pPr>
      <w:r>
        <w:t>Ask the Open Records Officer to identify the record system and provide a reasonable opportunity to narrow any request claimed to be burdensome.</w:t>
      </w:r>
    </w:p>
    <w:p>
      <w:r>
        <w:rPr>
          <w:b/>
          <w:color w:val="D97828"/>
        </w:rPr>
        <w:t xml:space="preserve">Suggested first wave  </w:t>
      </w:r>
      <w:r>
        <w:t>File Requests 1 through 4 first. Their results will determine how narrowly to draft the outsourcing, special education, reconfiguration, charter, grant, and capital follow-ups.</w:t>
      </w:r>
    </w:p>
    <w:p>
      <w:r>
        <w:br w:type="page"/>
      </w:r>
    </w:p>
    <w:p>
      <w:pPr>
        <w:pStyle w:val="Heading1"/>
      </w:pPr>
      <w:r>
        <w:t>Copy Ready Requests</w:t>
      </w:r>
    </w:p>
    <w:p>
      <w:pPr>
        <w:pStyle w:val="Heading2"/>
        <w:keepNext/>
      </w:pPr>
      <w:r>
        <w:t>Request 1  Position Control and Staffing Changes</w:t>
      </w:r>
    </w:p>
    <w:p>
      <w:r>
        <w:rPr>
          <w:b/>
          <w:color w:val="D97828"/>
        </w:rPr>
        <w:t xml:space="preserve">Purpose  </w:t>
      </w:r>
      <w:r>
        <w:t>Identify every position removed, restored, added, reclassified, transferred, or left vacant during the enrollment decline.</w:t>
      </w:r>
    </w:p>
    <w:p>
      <w:pPr>
        <w:spacing w:before="60" w:after="200"/>
        <w:ind w:left="360" w:right="216"/>
      </w:pPr>
      <w:r>
        <w:t>Please provide the district position-control report or equivalent existing record for school years 2019-20 through 2025-26. For each position, please include school or department, job title, assignment or subject, full-time or part-time status, FTE if maintained, employee category, filled or vacant status, funding source, and the dates the position was created, eliminated, restored, reclassified, transferred, or left vacant. Please also provide existing board agendas, memoranda, staffing plans, reduction-in-force records, or recommendations supporting each material position change, with particular attention to changes from 2021-22 through 2022-23. Employee names may be redacted if necessary.</w:t>
      </w:r>
    </w:p>
    <w:p>
      <w:pPr>
        <w:pStyle w:val="Heading2"/>
        <w:keepNext/>
      </w:pPr>
      <w:r>
        <w:t>Request 2  Master Schedules and Class Sections</w:t>
      </w:r>
    </w:p>
    <w:p>
      <w:r>
        <w:rPr>
          <w:b/>
          <w:color w:val="D97828"/>
        </w:rPr>
        <w:t xml:space="preserve">Purpose  </w:t>
      </w:r>
      <w:r>
        <w:t>Measure actual class size, course access, teacher loads, and under-enrolled sections.</w:t>
      </w:r>
    </w:p>
    <w:p>
      <w:pPr>
        <w:spacing w:before="60" w:after="200"/>
        <w:ind w:left="360" w:right="216"/>
      </w:pPr>
      <w:r>
        <w:t>Please provide the final master schedule, section roster or section-count export, and course catalog for each district school for school years 2019-20, 2021-22, 2022-23, and 2025-26. For each section, please include school, course or grade, subject, section identifier, assigned staff position, enrolled student count, room, and instructional period. Student names and identifiers are not requested. Please provide the records in native electronic format when available.</w:t>
      </w:r>
    </w:p>
    <w:p>
      <w:pPr>
        <w:pStyle w:val="Heading2"/>
        <w:keepNext/>
      </w:pPr>
      <w:r>
        <w:t>Request 3  Support Staffing and PDE Reconciliation</w:t>
      </w:r>
    </w:p>
    <w:p>
      <w:r>
        <w:rPr>
          <w:b/>
          <w:color w:val="D97828"/>
        </w:rPr>
        <w:t xml:space="preserve">Purpose  </w:t>
      </w:r>
      <w:r>
        <w:t>Explain the apparent decline from 333 support people to eight and reconcile state submissions.</w:t>
      </w:r>
    </w:p>
    <w:p>
      <w:pPr>
        <w:spacing w:before="60" w:after="200"/>
        <w:ind w:left="360" w:right="216"/>
      </w:pPr>
      <w:r>
        <w:t>Please provide the district source files, submission extracts, validation reports, error reports, certification pages, correction records, and correspondence with PDE concerning the Public School Support Personnel collections for 2019-20 and 2025-26. Please also provide existing payroll, position-control, or human-resources reports showing all full-time and part-time support positions, hours or FTE, school or department, job title, employee category, and status for those years. Please include records reconciling the 2025-26 PDE total of eight support personnel with district payroll and position records.</w:t>
      </w:r>
    </w:p>
    <w:p>
      <w:r>
        <w:br w:type="page"/>
      </w:r>
    </w:p>
    <w:p>
      <w:pPr>
        <w:pStyle w:val="Heading2"/>
        <w:keepNext/>
      </w:pPr>
      <w:r>
        <w:t>Request 4  Personnel Costs and Funding Sources</w:t>
      </w:r>
    </w:p>
    <w:p>
      <w:r>
        <w:rPr>
          <w:b/>
          <w:color w:val="D97828"/>
        </w:rPr>
        <w:t xml:space="preserve">Purpose  </w:t>
      </w:r>
      <w:r>
        <w:t>Determine the savings or cost shifts associated with professional and support staffing changes.</w:t>
      </w:r>
    </w:p>
    <w:p>
      <w:pPr>
        <w:spacing w:before="60" w:after="200"/>
        <w:ind w:left="360" w:right="216"/>
      </w:pPr>
      <w:r>
        <w:t>Please provide existing annual payroll or position-cost reports for school years 2019-20 through 2025-26 showing, by position, regular salary or wages, overtime, stipends, employer retirement contributions, employer health-benefit cost, payroll taxes, and total employer cost. Please include professional staff, support staff, substitutes, and temporary staff. Names may be redacted if necessary, but please retain position title, school or department, employee category, status, and federal, state, local, or other funding source. Please also provide records reconciling the 2025-26 Act 35 budgeted complement of 306 and one vacancy with the professional staff summary count of 322.</w:t>
      </w:r>
    </w:p>
    <w:p>
      <w:pPr>
        <w:pStyle w:val="Heading2"/>
        <w:keepNext/>
      </w:pPr>
      <w:r>
        <w:t>Request 5  Contracts Consultants and Outsourcing</w:t>
      </w:r>
    </w:p>
    <w:p>
      <w:r>
        <w:rPr>
          <w:b/>
          <w:color w:val="D97828"/>
        </w:rPr>
        <w:t xml:space="preserve">Purpose  </w:t>
      </w:r>
      <w:r>
        <w:t>Determine whether work formerly performed by employees moved to vendors.</w:t>
      </w:r>
    </w:p>
    <w:p>
      <w:pPr>
        <w:spacing w:before="60" w:after="200"/>
        <w:ind w:left="360" w:right="216"/>
      </w:pPr>
      <w:r>
        <w:t>Please provide the district contract register, accounts-payable vendor export, and all contracts, amendments, scopes of work, invoices, and board approvals for staffing services, substitute staffing, special education and therapy services, transportation, custodial and maintenance services, food services, technology, business or management consulting, educational consulting, and other outsourced work for school years 2019-20 through 2025-26. Please provide native electronic vendor data when available.</w:t>
      </w:r>
    </w:p>
    <w:p>
      <w:pPr>
        <w:pStyle w:val="Heading2"/>
        <w:keepNext/>
      </w:pPr>
      <w:r>
        <w:t>Request 6  Special Education Staffing and Services</w:t>
      </w:r>
    </w:p>
    <w:p>
      <w:r>
        <w:rPr>
          <w:b/>
          <w:color w:val="D97828"/>
        </w:rPr>
        <w:t xml:space="preserve">Purpose  </w:t>
      </w:r>
      <w:r>
        <w:t>Test whether staffing and contractor capacity match the needs of a population reported as 20.8 percent special education.</w:t>
      </w:r>
    </w:p>
    <w:p>
      <w:pPr>
        <w:spacing w:before="60" w:after="200"/>
        <w:ind w:left="360" w:right="216"/>
      </w:pPr>
      <w:r>
        <w:t>Please provide existing annual reports for school years 2019-20 through 2025-26 showing special education enrollment by disability category and building, instructional and related-service staffing by position and FTE, teacher and related-service caseloads, paraprofessional assignments, contracted-service costs, outside placements, due-process costs, compensatory-education costs, unfilled positions, and compliance or corrective-action records. Student names and identifiers are not requested.</w:t>
      </w:r>
    </w:p>
    <w:p>
      <w:pPr>
        <w:pStyle w:val="Heading2"/>
        <w:keepNext/>
      </w:pPr>
      <w:r>
        <w:t>Request 7  Grade Configuration Enrollment and Capacity</w:t>
      </w:r>
    </w:p>
    <w:p>
      <w:r>
        <w:rPr>
          <w:b/>
          <w:color w:val="D97828"/>
        </w:rPr>
        <w:t xml:space="preserve">Purpose  </w:t>
      </w:r>
      <w:r>
        <w:t>Explain the grade reconfiguration and connect it to staffing, transportation, and facilities.</w:t>
      </w:r>
    </w:p>
    <w:p>
      <w:pPr>
        <w:spacing w:before="60" w:after="200"/>
        <w:ind w:left="360" w:right="216"/>
      </w:pPr>
      <w:r>
        <w:t>Please provide existing board records, presentations, studies, implementation plans, transportation analyses, staffing analyses, and cost estimates concerning changes in grade assignments among Pleasant Valley Elementary, Intermediate, and Middle Schools from 2019-20 through 2025-26. Please also provide building enrollment, functional and rated capacity, room use, utilization, temporary classroom, and program-location reports for each year, plus any district enrollment projections or demographic studies used in the decision.</w:t>
      </w:r>
    </w:p>
    <w:p>
      <w:r>
        <w:br w:type="page"/>
      </w:r>
    </w:p>
    <w:p>
      <w:pPr>
        <w:pStyle w:val="Heading2"/>
        <w:keepNext/>
      </w:pPr>
      <w:r>
        <w:t>Request 8  Charter Cyber and Virtual Education</w:t>
      </w:r>
    </w:p>
    <w:p>
      <w:r>
        <w:rPr>
          <w:b/>
          <w:color w:val="D97828"/>
        </w:rPr>
        <w:t xml:space="preserve">Purpose  </w:t>
      </w:r>
      <w:r>
        <w:t>Understand why resident students leave and compare external tuition with district options.</w:t>
      </w:r>
    </w:p>
    <w:p>
      <w:pPr>
        <w:spacing w:before="60" w:after="200"/>
        <w:ind w:left="360" w:right="216"/>
      </w:pPr>
      <w:r>
        <w:t>Please provide existing annual reports for school years 2019-20 through 2025-26 showing resident charter and cyber charter enrollment by school, tuition paid, special education tuition, transportation or related cost, entries, withdrawals, returns to district schools, and district projections. Please also provide existing records for any district-operated or contracted virtual program showing enrollment, entries, withdrawals, completion, staffing, vendor and technology costs, payments by contract, and any cost-per-student or performance comparisons maintained by the district. Student names and identifiers are not requested.</w:t>
      </w:r>
    </w:p>
    <w:p>
      <w:pPr>
        <w:pStyle w:val="Heading2"/>
        <w:keepNext/>
      </w:pPr>
      <w:r>
        <w:t>Request 9  Grants Interventions and Outcome Plans</w:t>
      </w:r>
    </w:p>
    <w:p>
      <w:r>
        <w:rPr>
          <w:b/>
          <w:color w:val="D97828"/>
        </w:rPr>
        <w:t xml:space="preserve">Purpose  </w:t>
      </w:r>
      <w:r>
        <w:t>Connect temporary funding and staffing choices to measurable student results.</w:t>
      </w:r>
    </w:p>
    <w:p>
      <w:pPr>
        <w:spacing w:before="60" w:after="200"/>
        <w:ind w:left="360" w:right="216"/>
      </w:pPr>
      <w:r>
        <w:t>Please provide the approved application, amendment, budget, expenditure report, position list, and closeout record for ESSER I, ESSER II, ARP ESSER, learning-loss set-asides, Title I, Title II, Ready to Learn, and other grants used for personnel or academic intervention from 2020-21 through 2025-26. Please also provide existing school improvement plans, mathematics and literacy intervention plans, board presentations, progress-monitoring reports, and program evaluations addressing intermediate and middle school growth, high school mathematics growth, rigorous-course participation, industry-based learning, and postsecondary transition.</w:t>
      </w:r>
    </w:p>
    <w:p>
      <w:pPr>
        <w:pStyle w:val="Heading2"/>
        <w:keepNext/>
      </w:pPr>
      <w:r>
        <w:t>Request 10  Debt Renovation and Capital Planning</w:t>
      </w:r>
    </w:p>
    <w:p>
      <w:r>
        <w:rPr>
          <w:b/>
          <w:color w:val="D97828"/>
        </w:rPr>
        <w:t xml:space="preserve">Purpose  </w:t>
      </w:r>
      <w:r>
        <w:t>Track the high school project and other capital improvements from authorization through completion.</w:t>
      </w:r>
    </w:p>
    <w:p>
      <w:pPr>
        <w:spacing w:before="60" w:after="200"/>
        <w:ind w:left="360" w:right="216"/>
      </w:pPr>
      <w:r>
        <w:t>Please provide the current debt schedule and records for each outstanding bond issue, including issue date, original and current principal, interest rates, annual principal and interest, maturity dates, call provisions, refinancing analyses, issuance costs, and state reimbursement assumptions or receipts. Please also provide existing feasibility studies, educational specifications, project budgets, funding plans, contracts, bid tabulations, commitments, invoices, contingency reports, change-order logs, payment applications, schedule reports, construction progress reports, capacity analyses, and board presentations for the high school renovation and other projects financed by the 2023, 2024A, and 2025 bond issues.</w:t>
      </w:r>
    </w:p>
    <w:p>
      <w:r>
        <w:br w:type="page"/>
      </w:r>
    </w:p>
    <w:p>
      <w:pPr>
        <w:pStyle w:val="Heading1"/>
      </w:pPr>
      <w:r>
        <w:t>Sources and Limitations</w:t>
      </w:r>
    </w:p>
    <w:p>
      <w:pPr>
        <w:pStyle w:val="Heading2"/>
      </w:pPr>
      <w:r>
        <w:t>Public Sources Used</w:t>
      </w:r>
    </w:p>
    <w:p>
      <w:pPr>
        <w:spacing w:after="60"/>
      </w:pPr>
      <w:hyperlink r:id="rId10">
        <w:r>
          <w:rPr>
            <w:color w:val="23384D"/>
            <w:u w:val="single"/>
          </w:rPr>
          <w:t>Pennsylvania Department of Education enrollment data</w:t>
        </w:r>
      </w:hyperlink>
    </w:p>
    <w:p>
      <w:pPr>
        <w:spacing w:after="60"/>
      </w:pPr>
      <w:hyperlink r:id="rId11">
        <w:r>
          <w:rPr>
            <w:color w:val="23384D"/>
            <w:u w:val="single"/>
          </w:rPr>
          <w:t>PDE professional and support personnel data</w:t>
        </w:r>
      </w:hyperlink>
    </w:p>
    <w:p>
      <w:pPr>
        <w:spacing w:after="60"/>
      </w:pPr>
      <w:hyperlink r:id="rId12">
        <w:r>
          <w:rPr>
            <w:color w:val="23384D"/>
            <w:u w:val="single"/>
          </w:rPr>
          <w:t>Future Ready PA Index</w:t>
        </w:r>
      </w:hyperlink>
    </w:p>
    <w:p>
      <w:pPr>
        <w:spacing w:after="60"/>
      </w:pPr>
      <w:hyperlink r:id="rId13">
        <w:r>
          <w:rPr>
            <w:color w:val="23384D"/>
            <w:u w:val="single"/>
          </w:rPr>
          <w:t>Pleasant Valley School District budget information</w:t>
        </w:r>
      </w:hyperlink>
    </w:p>
    <w:p>
      <w:pPr>
        <w:spacing w:after="60"/>
      </w:pPr>
      <w:hyperlink r:id="rId14">
        <w:r>
          <w:rPr>
            <w:color w:val="23384D"/>
            <w:u w:val="single"/>
          </w:rPr>
          <w:t>Pleasant Valley 2025 26 final General Fund budget</w:t>
        </w:r>
      </w:hyperlink>
    </w:p>
    <w:p>
      <w:pPr>
        <w:spacing w:after="60"/>
      </w:pPr>
      <w:hyperlink r:id="rId15">
        <w:r>
          <w:rPr>
            <w:color w:val="23384D"/>
            <w:u w:val="single"/>
          </w:rPr>
          <w:t>Pleasant Valley audited financial statements</w:t>
        </w:r>
      </w:hyperlink>
    </w:p>
    <w:p>
      <w:pPr>
        <w:spacing w:after="60"/>
      </w:pPr>
      <w:hyperlink r:id="rId16">
        <w:r>
          <w:rPr>
            <w:color w:val="23384D"/>
            <w:u w:val="single"/>
          </w:rPr>
          <w:t>Pleasant Valley fiscal year 2025 single audit</w:t>
        </w:r>
      </w:hyperlink>
    </w:p>
    <w:p>
      <w:pPr>
        <w:pStyle w:val="Heading2"/>
      </w:pPr>
      <w:r>
        <w:t>Important Limitations</w:t>
      </w:r>
    </w:p>
    <w:p>
      <w:pPr>
        <w:pStyle w:val="ListBullet"/>
        <w:ind w:left="317" w:hanging="216"/>
      </w:pPr>
      <w:r>
        <w:t>Enrollment is a student count reported in PDE files and may differ from average daily membership or other funding measures.</w:t>
      </w:r>
    </w:p>
    <w:p>
      <w:pPr>
        <w:pStyle w:val="ListBullet"/>
        <w:ind w:left="317" w:hanging="216"/>
      </w:pPr>
      <w:r>
        <w:t>Professional staff figures are full-time headcounts based on primary assignment, not FTE totals.</w:t>
      </w:r>
    </w:p>
    <w:p>
      <w:pPr>
        <w:pStyle w:val="ListBullet"/>
        <w:ind w:left="317" w:hanging="216"/>
      </w:pPr>
      <w:r>
        <w:t>The 2025-26 support-personnel file appears incomplete or inconsistent for Pleasant Valley and should not be treated as an actual staffing count until reconciled.</w:t>
      </w:r>
    </w:p>
    <w:p>
      <w:pPr>
        <w:pStyle w:val="ListBullet"/>
        <w:ind w:left="317" w:hanging="216"/>
      </w:pPr>
      <w:r>
        <w:t>Students per teacher is not average class size. Only section-level schedules can establish actual class size and course load.</w:t>
      </w:r>
    </w:p>
    <w:p>
      <w:pPr>
        <w:pStyle w:val="ListBullet"/>
        <w:ind w:left="317" w:hanging="216"/>
      </w:pPr>
      <w:r>
        <w:t>School enrollment comparisons are affected by grade reconfiguration and cannot be interpreted as building-level demand changes without adjustment.</w:t>
      </w:r>
    </w:p>
    <w:p>
      <w:pPr>
        <w:pStyle w:val="ListBullet"/>
        <w:ind w:left="317" w:hanging="216"/>
      </w:pPr>
      <w:r>
        <w:t>Budget per student and debt per student are simple derived calculations for orientation, not official accounting or PDE expenditure metrics.</w:t>
      </w:r>
    </w:p>
    <w:p>
      <w:pPr>
        <w:pStyle w:val="ListBullet"/>
        <w:ind w:left="317" w:hanging="216"/>
      </w:pPr>
      <w:r>
        <w:t>Student outcomes are associated with the staffing period but do not prove that staffing changes caused the results.</w:t>
      </w:r>
    </w:p>
    <w:p>
      <w:pPr>
        <w:pStyle w:val="Heading2"/>
      </w:pPr>
      <w:r>
        <w:t>Bottom Line for Coach Dave</w:t>
      </w:r>
    </w:p>
    <w:p>
      <w:r>
        <w:t>Pleasant Valley has been reducing professional staffing, not holding it flat. Since 2019-20, enrollment declined 8.7 percent while full-time classroom teachers declined 17.4 percent and all professional staff declined 21.7 percent. The district now has more students per classroom teacher than any other Monroe County district. That makes class sections, special education caseloads, coordinated services, and course access the central staffing questions. The reported support-staff count of eight is too inconsistent to use without reconciliation. At the same time, the district has relative strengths in intermediate mathematics, high school ELA, attendance, graduation, and career standards, but clear weaknesses in middle school growth and high school mathematics growth. Its $116.1 million budget and major high school renovation add a second accountability track focused on debt, construction, capacity, and long-term affordability.</w:t>
      </w:r>
    </w:p>
    <w:p>
      <w:r>
        <w:rPr>
          <w:b/>
          <w:color w:val="D97828"/>
        </w:rPr>
        <w:t xml:space="preserve">Recommended framing  </w:t>
      </w:r>
      <w:r>
        <w:t>Ask whether staffing reductions and building investments were guided by a transparent plan, whether student services and classroom capacity were protected, and what measurable results the district received for its operating and capital spending.</w:t>
      </w:r>
    </w:p>
    <w:sectPr w:rsidR="00FC693F" w:rsidRPr="0006063C" w:rsidSect="00034616">
      <w:footerReference w:type="default" r:id="rId9"/>
      <w:pgSz w:w="12240" w:h="15840"/>
      <w:pgMar w:top="893"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6666"/>
        <w:sz w:val="18"/>
      </w:rPr>
      <w:t xml:space="preserve">Forge Change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spacing w:after="60"/>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a.gov/agencies/education/data-and-reporting/enrollment" TargetMode="External"/><Relationship Id="rId11" Type="http://schemas.openxmlformats.org/officeDocument/2006/relationships/hyperlink" Target="https://www.pa.gov/agencies/education/data-and-reporting/school-staff/professional-and-support-personnel" TargetMode="External"/><Relationship Id="rId12" Type="http://schemas.openxmlformats.org/officeDocument/2006/relationships/hyperlink" Target="https://futurereadypa.org/" TargetMode="External"/><Relationship Id="rId13" Type="http://schemas.openxmlformats.org/officeDocument/2006/relationships/hyperlink" Target="https://www.pvbears.org/departments/business-office/budget-information" TargetMode="External"/><Relationship Id="rId14" Type="http://schemas.openxmlformats.org/officeDocument/2006/relationships/hyperlink" Target="https://resources.finalsite.net/images/v1751469257/pvbearsorg/jstdsfibzouyhnh9lu88/25-26FinalGFBudget.pdf" TargetMode="External"/><Relationship Id="rId15" Type="http://schemas.openxmlformats.org/officeDocument/2006/relationships/hyperlink" Target="https://www.pvbears.org/departments/business-office/audited-financial-statements" TargetMode="External"/><Relationship Id="rId16" Type="http://schemas.openxmlformats.org/officeDocument/2006/relationships/hyperlink" Target="https://resources.finalsite.net/images/v1774981143/pvbearsorg/dptetb9w8rwuk4rjvzhp/AuditReportfortheyearendedJune30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