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F5919" w14:textId="77777777" w:rsidR="00385021" w:rsidRDefault="0052766F">
      <w:pPr>
        <w:spacing w:after="200"/>
        <w:jc w:val="center"/>
      </w:pPr>
      <w:r>
        <w:rPr>
          <w:b/>
          <w:bCs/>
          <w:sz w:val="34"/>
          <w:szCs w:val="34"/>
        </w:rPr>
        <w:t>Dysfunctional Swallowing, Compensatory Tongue Posture, and Fascial Densification:</w:t>
      </w:r>
    </w:p>
    <w:p w14:paraId="1DBA11D0" w14:textId="77777777" w:rsidR="00385021" w:rsidRDefault="0052766F">
      <w:pPr>
        <w:spacing w:after="200"/>
        <w:jc w:val="center"/>
      </w:pPr>
      <w:r>
        <w:rPr>
          <w:b/>
          <w:bCs/>
          <w:sz w:val="30"/>
          <w:szCs w:val="30"/>
        </w:rPr>
        <w:t>A Neurofunctional Dental Medicine Framework for Understanding and Treating</w:t>
      </w:r>
    </w:p>
    <w:p w14:paraId="064A2A9D" w14:textId="77777777" w:rsidR="00385021" w:rsidRDefault="0052766F">
      <w:pPr>
        <w:spacing w:after="200"/>
        <w:jc w:val="center"/>
      </w:pPr>
      <w:r>
        <w:rPr>
          <w:b/>
          <w:bCs/>
          <w:sz w:val="30"/>
          <w:szCs w:val="30"/>
        </w:rPr>
        <w:t xml:space="preserve">the Orofacial </w:t>
      </w:r>
      <w:proofErr w:type="spellStart"/>
      <w:r>
        <w:rPr>
          <w:b/>
          <w:bCs/>
          <w:sz w:val="30"/>
          <w:szCs w:val="30"/>
        </w:rPr>
        <w:t>Vmes</w:t>
      </w:r>
      <w:proofErr w:type="spellEnd"/>
      <w:r>
        <w:rPr>
          <w:b/>
          <w:bCs/>
          <w:sz w:val="30"/>
          <w:szCs w:val="30"/>
        </w:rPr>
        <w:t xml:space="preserve"> Circuit Failure Cycle</w:t>
      </w:r>
    </w:p>
    <w:p w14:paraId="6651788A" w14:textId="77777777" w:rsidR="00385021" w:rsidRDefault="0052766F">
      <w:pPr>
        <w:spacing w:before="60" w:after="200"/>
        <w:jc w:val="center"/>
      </w:pPr>
      <w:r>
        <w:rPr>
          <w:i/>
          <w:iCs/>
          <w:sz w:val="26"/>
          <w:szCs w:val="26"/>
        </w:rPr>
        <w:t>An Integrative Literature Review</w:t>
      </w:r>
    </w:p>
    <w:p w14:paraId="5E8A261D" w14:textId="77777777" w:rsidR="00385021" w:rsidRDefault="0052766F">
      <w:pPr>
        <w:spacing w:after="600"/>
        <w:jc w:val="center"/>
      </w:pPr>
      <w:r>
        <w:rPr>
          <w:b/>
          <w:bCs/>
          <w:color w:val="444444"/>
        </w:rPr>
        <w:t>Dr. Angie Tenholder DMD, FAACP, DABCDSM, FAGD</w:t>
      </w:r>
    </w:p>
    <w:p w14:paraId="74E51A85" w14:textId="77777777" w:rsidR="00385021" w:rsidRDefault="0052766F">
      <w:pPr>
        <w:pStyle w:val="Heading1"/>
        <w:spacing w:before="360" w:after="180"/>
      </w:pPr>
      <w:r>
        <w:rPr>
          <w:b/>
          <w:bCs/>
          <w:sz w:val="30"/>
          <w:szCs w:val="30"/>
        </w:rPr>
        <w:t>Abstract</w:t>
      </w:r>
    </w:p>
    <w:p w14:paraId="1437676A" w14:textId="77777777" w:rsidR="00385021" w:rsidRDefault="0052766F">
      <w:pPr>
        <w:spacing w:before="80" w:after="80" w:line="360" w:lineRule="auto"/>
        <w:jc w:val="both"/>
      </w:pPr>
      <w:r>
        <w:t>Dysfunctional swallowing — characterized by absent or inadequate lingual-palatal contact, tongue thrust, or open-mouth resting posture — fails to generate the lingual-palatal mechanoreceptive stimulation required for adequate mesencephalic trigeminal nucleus (</w:t>
      </w:r>
      <w:proofErr w:type="spellStart"/>
      <w:r>
        <w:t>Vmes</w:t>
      </w:r>
      <w:proofErr w:type="spellEnd"/>
      <w:r>
        <w:t xml:space="preserve">) afferent input to the ascending reticular activating system (ARAS). The SWITCH test, developed by Dr. Angie Tenholder within the Neurofunctional Dental Medicine (NFDM) framework, detects this </w:t>
      </w:r>
      <w:proofErr w:type="spellStart"/>
      <w:r>
        <w:t>Vmes</w:t>
      </w:r>
      <w:proofErr w:type="spellEnd"/>
      <w:r>
        <w:t xml:space="preserve"> circuit insufficiency through a weak ipsilateral leg resistance response, providing chair-side evidence of dysfunctional neural circuit activation. In patients experiencing excessive autonomic stress, the nervous system may respond by lowering the tongue to the floor of the mouth as a compensatory relaxation</w:t>
      </w:r>
      <w:r>
        <w:t xml:space="preserve"> strategy — further reducing an already insufficient </w:t>
      </w:r>
      <w:proofErr w:type="spellStart"/>
      <w:r>
        <w:t>Vmes</w:t>
      </w:r>
      <w:proofErr w:type="spellEnd"/>
      <w:r>
        <w:t xml:space="preserve"> input. Research by Schmidt and colleagues (2009) established that tongue contact with the palate increases temporalis and suprahyoid muscle activation and reduces heart rate variability, confirming that palatal contact is the neurologically demanding, </w:t>
      </w:r>
      <w:proofErr w:type="spellStart"/>
      <w:r>
        <w:t>Vmes</w:t>
      </w:r>
      <w:proofErr w:type="spellEnd"/>
      <w:r>
        <w:t>-activating state, while the floor-of-mouth position represents a low-demand, low-input resting state that is inadequate for sustaining ARAS arousal tone during sleep. Chronic low tongue posture, wh</w:t>
      </w:r>
      <w:r>
        <w:t xml:space="preserve">ether driven by structural restriction or autonomic stress compensation, drives hyaluronic acid (HA) densification in the sublingual loose connective tissue — progressively thickening the fascial layers of the floor of the mouth through the mechanism documented by Pratt (2021) and </w:t>
      </w:r>
      <w:proofErr w:type="spellStart"/>
      <w:r>
        <w:t>Stecco</w:t>
      </w:r>
      <w:proofErr w:type="spellEnd"/>
      <w:r>
        <w:t xml:space="preserve"> and colleagues (2011, 2013), creating the structural restriction that reinforces the dysfunctional posture. The Neurofunctional Dental Medicine protocols — BabyLase, OraLase, RestOralase, the ALF appliance, the TORNADO devi</w:t>
      </w:r>
      <w:r>
        <w:t xml:space="preserve">ce, and the NINJA device — are presented as a therapeutic continuum designed to temporarily support </w:t>
      </w:r>
      <w:proofErr w:type="spellStart"/>
      <w:r>
        <w:t>Vmes</w:t>
      </w:r>
      <w:proofErr w:type="spellEnd"/>
      <w:r>
        <w:t xml:space="preserve"> input through mechanotransduction to the palate while guiding the patient toward swallow conversion: the ultimate therapeutic goal of establishing a self-sustaining functional swallowing pattern that maintains adequate </w:t>
      </w:r>
      <w:proofErr w:type="spellStart"/>
      <w:r>
        <w:t>Vmes</w:t>
      </w:r>
      <w:proofErr w:type="spellEnd"/>
      <w:r>
        <w:t xml:space="preserve"> circuit </w:t>
      </w:r>
      <w:r>
        <w:lastRenderedPageBreak/>
        <w:t>activation independent of device support. Patients who achieve swallow conversion require no ongoing device dependency. Patients who do not convert may remain device-dependent</w:t>
      </w:r>
      <w:r>
        <w:t xml:space="preserve"> to sustain the functional </w:t>
      </w:r>
      <w:proofErr w:type="spellStart"/>
      <w:r>
        <w:t>Vmes</w:t>
      </w:r>
      <w:proofErr w:type="spellEnd"/>
      <w:r>
        <w:t xml:space="preserve"> signal through mechanotransduction — a clinically acceptable long-term outcome within the NFDM model.</w:t>
      </w:r>
    </w:p>
    <w:p w14:paraId="2C87142B" w14:textId="77777777" w:rsidR="00385021" w:rsidRDefault="00385021">
      <w:pPr>
        <w:spacing w:before="60" w:after="60"/>
      </w:pPr>
    </w:p>
    <w:p w14:paraId="551D741C" w14:textId="77777777" w:rsidR="00385021" w:rsidRDefault="0052766F">
      <w:pPr>
        <w:pStyle w:val="Heading1"/>
        <w:spacing w:before="360" w:after="180"/>
      </w:pPr>
      <w:r>
        <w:rPr>
          <w:b/>
          <w:bCs/>
          <w:sz w:val="30"/>
          <w:szCs w:val="30"/>
        </w:rPr>
        <w:t xml:space="preserve">Section 1: The </w:t>
      </w:r>
      <w:proofErr w:type="spellStart"/>
      <w:r>
        <w:rPr>
          <w:b/>
          <w:bCs/>
          <w:sz w:val="30"/>
          <w:szCs w:val="30"/>
        </w:rPr>
        <w:t>Vmes</w:t>
      </w:r>
      <w:proofErr w:type="spellEnd"/>
      <w:r>
        <w:rPr>
          <w:b/>
          <w:bCs/>
          <w:sz w:val="30"/>
          <w:szCs w:val="30"/>
        </w:rPr>
        <w:t xml:space="preserve"> Circuit and Swallowing — Why Lingual-Palatal Contact Matters</w:t>
      </w:r>
    </w:p>
    <w:p w14:paraId="65FC42BE" w14:textId="77777777" w:rsidR="00385021" w:rsidRDefault="0052766F">
      <w:pPr>
        <w:spacing w:before="80" w:after="80" w:line="360" w:lineRule="auto"/>
        <w:jc w:val="both"/>
      </w:pPr>
      <w:r>
        <w:rPr>
          <w:i/>
          <w:iCs/>
        </w:rPr>
        <w:t>Primary source: Andrisani G, Andrisani G. Sleep apnea pathophysiology. Sleep and Breathing. 2023;27(6):2111–2122.</w:t>
      </w:r>
    </w:p>
    <w:p w14:paraId="1999546F" w14:textId="77777777" w:rsidR="00385021" w:rsidRDefault="00385021">
      <w:pPr>
        <w:spacing w:before="60" w:after="60"/>
      </w:pPr>
    </w:p>
    <w:p w14:paraId="2A48DEE6" w14:textId="77777777" w:rsidR="00385021" w:rsidRDefault="0052766F">
      <w:pPr>
        <w:pStyle w:val="Heading2"/>
        <w:spacing w:before="280" w:after="140"/>
      </w:pPr>
      <w:r>
        <w:rPr>
          <w:b/>
          <w:bCs/>
        </w:rPr>
        <w:t xml:space="preserve">1.1 The </w:t>
      </w:r>
      <w:proofErr w:type="spellStart"/>
      <w:r>
        <w:rPr>
          <w:b/>
          <w:bCs/>
        </w:rPr>
        <w:t>Vmes</w:t>
      </w:r>
      <w:proofErr w:type="spellEnd"/>
      <w:r>
        <w:rPr>
          <w:b/>
          <w:bCs/>
        </w:rPr>
        <w:t xml:space="preserve"> as the ARAS Sustaining Node</w:t>
      </w:r>
    </w:p>
    <w:p w14:paraId="489BD65A" w14:textId="77777777" w:rsidR="00385021" w:rsidRDefault="0052766F">
      <w:pPr>
        <w:spacing w:before="80" w:after="80" w:line="360" w:lineRule="auto"/>
        <w:jc w:val="both"/>
      </w:pPr>
      <w:r>
        <w:t>The mesencephalic trigeminal nucleus (</w:t>
      </w:r>
      <w:proofErr w:type="spellStart"/>
      <w:r>
        <w:t>Vmes</w:t>
      </w:r>
      <w:proofErr w:type="spellEnd"/>
      <w:r>
        <w:t xml:space="preserve">/MTN) is the only primary sensory nucleus whose cell bodies reside within the central nervous system rather than a peripheral ganglion. It receives proprioceptive input from the periodontium, the hard palate, the temporomandibular joint capsule, and the masticatory muscle spindles — and projects directly to the trigeminal motor nucleus, the thalamus, and the ARAS nuclei that </w:t>
      </w:r>
      <w:proofErr w:type="gramStart"/>
      <w:r>
        <w:t>govern</w:t>
      </w:r>
      <w:proofErr w:type="gramEnd"/>
      <w:r>
        <w:t xml:space="preserve"> sleep-wake transitions and arousal maintenance during sleep. Andrisani and Andrisani (2023) established that the </w:t>
      </w:r>
      <w:proofErr w:type="spellStart"/>
      <w:r>
        <w:t>Vmes</w:t>
      </w:r>
      <w:proofErr w:type="spellEnd"/>
      <w:r>
        <w:t xml:space="preserve"> funct</w:t>
      </w:r>
      <w:r>
        <w:t xml:space="preserve">ions as the ARAS sustaining node during sleep: MTN neurons respond to hypothalamic GABA release during sleep induction by releasing glutamate that activates neurons in the parabrachial nucleus (PBN), maintaining minimum ARAS arousal tone across the CAP-B phase of NREM sleep. Without adequate </w:t>
      </w:r>
      <w:proofErr w:type="spellStart"/>
      <w:r>
        <w:t>Vmes</w:t>
      </w:r>
      <w:proofErr w:type="spellEnd"/>
      <w:r>
        <w:t xml:space="preserve"> glutamatergic output, this counter-regulatory signal fails, ARAS inhibition goes unopposed, and sleep apnea results.</w:t>
      </w:r>
    </w:p>
    <w:p w14:paraId="1D7B0866" w14:textId="77777777" w:rsidR="00385021" w:rsidRDefault="0052766F">
      <w:pPr>
        <w:spacing w:before="80" w:after="80" w:line="360" w:lineRule="auto"/>
        <w:jc w:val="both"/>
      </w:pPr>
      <w:r>
        <w:t xml:space="preserve">The quality and quantity of </w:t>
      </w:r>
      <w:proofErr w:type="spellStart"/>
      <w:r>
        <w:t>Vmes</w:t>
      </w:r>
      <w:proofErr w:type="spellEnd"/>
      <w:r>
        <w:t xml:space="preserve"> afferent input is therefore the primary upstream determinant of sleep apnea risk. That input is generated primarily by lingual-palatal contact during swallowing. Each of the approximately 600 daily swallows in a normal adult generates a burst of palatal and periodontal mechanoreceptor activation that the </w:t>
      </w:r>
      <w:proofErr w:type="spellStart"/>
      <w:r>
        <w:t>Vmes</w:t>
      </w:r>
      <w:proofErr w:type="spellEnd"/>
      <w:r>
        <w:t xml:space="preserve"> encodes and projects to the ARAS. A functional swallowing pattern — tongue tip to anterior palatal rugae, bilateral molar occlusion at initiation, continuous lingual-palatal contact through the ph</w:t>
      </w:r>
      <w:r>
        <w:t xml:space="preserve">aryngeal stage — generates a high-quality, high-amplitude </w:t>
      </w:r>
      <w:proofErr w:type="spellStart"/>
      <w:r>
        <w:t>Vmes</w:t>
      </w:r>
      <w:proofErr w:type="spellEnd"/>
      <w:r>
        <w:t xml:space="preserve"> afferent signal. A dysfunctional swallowing pattern — tongue thrust, open-mouth posture, inadequate palatal contact, low tongue body position — generates a degraded signal that is insufficient to sustain ARAS arousal tone during sleep.</w:t>
      </w:r>
    </w:p>
    <w:p w14:paraId="13FDF265" w14:textId="77777777" w:rsidR="00385021" w:rsidRDefault="0052766F">
      <w:pPr>
        <w:pStyle w:val="Heading2"/>
        <w:spacing w:before="280" w:after="140"/>
      </w:pPr>
      <w:r>
        <w:rPr>
          <w:b/>
          <w:bCs/>
        </w:rPr>
        <w:lastRenderedPageBreak/>
        <w:t xml:space="preserve">1.2 The SWITCH Test as a </w:t>
      </w:r>
      <w:proofErr w:type="spellStart"/>
      <w:r>
        <w:rPr>
          <w:b/>
          <w:bCs/>
        </w:rPr>
        <w:t>Vmes</w:t>
      </w:r>
      <w:proofErr w:type="spellEnd"/>
      <w:r>
        <w:rPr>
          <w:b/>
          <w:bCs/>
        </w:rPr>
        <w:t xml:space="preserve"> Circuit Integrity Instrument</w:t>
      </w:r>
    </w:p>
    <w:p w14:paraId="1048CF28" w14:textId="77777777" w:rsidR="00385021" w:rsidRDefault="0052766F">
      <w:pPr>
        <w:spacing w:before="80" w:after="80" w:line="360" w:lineRule="auto"/>
        <w:jc w:val="both"/>
      </w:pPr>
      <w:r>
        <w:t xml:space="preserve">The SWITCH test, developed by Dr. Angie Tenholder within the NFDM framework, provides chair-side detection of </w:t>
      </w:r>
      <w:proofErr w:type="spellStart"/>
      <w:r>
        <w:t>Vmes</w:t>
      </w:r>
      <w:proofErr w:type="spellEnd"/>
      <w:r>
        <w:t xml:space="preserve"> circuit insufficiency through a standardized ipsilateral leg resistance response. The neuroanatomical basis of this assessment rests on the </w:t>
      </w:r>
      <w:proofErr w:type="spellStart"/>
      <w:r>
        <w:t>Vmes</w:t>
      </w:r>
      <w:proofErr w:type="spellEnd"/>
      <w:r>
        <w:t xml:space="preserve"> projection to the locus coeruleus (LC) and, through the lateral vestibulospinal tract (LVST), to the lower extremity motor neurons. When the </w:t>
      </w:r>
      <w:proofErr w:type="spellStart"/>
      <w:r>
        <w:t>Vmes</w:t>
      </w:r>
      <w:proofErr w:type="spellEnd"/>
      <w:r>
        <w:t xml:space="preserve"> circuit is adequately activated — by appropriate lingual-palatal mechanoreceptor stimulation — it generates sufficient descending facilitation of the LVST to produce a strong, clear leg resistance response on the ips</w:t>
      </w:r>
      <w:r>
        <w:t xml:space="preserve">ilateral side. When the </w:t>
      </w:r>
      <w:proofErr w:type="spellStart"/>
      <w:r>
        <w:t>Vmes</w:t>
      </w:r>
      <w:proofErr w:type="spellEnd"/>
      <w:r>
        <w:t xml:space="preserve"> circuit is insufficiently activated — as in the patient with dysfunctional swallowing, inadequate palatal contact, or sublingual fascial restriction limiting tongue elevation — the descending LVST facilitation is weak, and the leg resistance response is correspondingly diminished.</w:t>
      </w:r>
    </w:p>
    <w:p w14:paraId="543FE96D" w14:textId="77777777" w:rsidR="00385021" w:rsidRDefault="0052766F">
      <w:pPr>
        <w:spacing w:before="80" w:after="80" w:line="360" w:lineRule="auto"/>
        <w:jc w:val="both"/>
      </w:pPr>
      <w:r>
        <w:t xml:space="preserve">A weak ipsilateral leg resistance response on the SWITCH test therefore serves as a functional biomarker of </w:t>
      </w:r>
      <w:proofErr w:type="spellStart"/>
      <w:r>
        <w:t>Vmes</w:t>
      </w:r>
      <w:proofErr w:type="spellEnd"/>
      <w:r>
        <w:t xml:space="preserve"> circuit insufficiency — providing the clinician with a direct, reproducible, chair-side measure of whether the patient's swallowing mechanics are generating adequate lingual-palatal </w:t>
      </w:r>
      <w:proofErr w:type="spellStart"/>
      <w:r>
        <w:t>Vmes</w:t>
      </w:r>
      <w:proofErr w:type="spellEnd"/>
      <w:r>
        <w:t xml:space="preserve"> afferent input. Conversely, improvement in the leg resistance response following an intraoral intervention — whether appliance insertion, occlusal modification, or fascial release — confirms that the intervention has improved the quality of </w:t>
      </w:r>
      <w:proofErr w:type="spellStart"/>
      <w:r>
        <w:t>Vmes</w:t>
      </w:r>
      <w:proofErr w:type="spellEnd"/>
      <w:r>
        <w:t xml:space="preserve"> afferent encoding. This makes the SWITCH test both the diagnostic instrume</w:t>
      </w:r>
      <w:r>
        <w:t xml:space="preserve">nt for identifying </w:t>
      </w:r>
      <w:proofErr w:type="spellStart"/>
      <w:r>
        <w:t>Vmes</w:t>
      </w:r>
      <w:proofErr w:type="spellEnd"/>
      <w:r>
        <w:t xml:space="preserve"> circuit failure and the outcome measure for confirming therapeutic restoration of functional circuit activity.</w:t>
      </w:r>
    </w:p>
    <w:p w14:paraId="32EAE7C5" w14:textId="77777777" w:rsidR="00385021" w:rsidRDefault="00385021">
      <w:pPr>
        <w:spacing w:before="60" w:after="60"/>
      </w:pPr>
    </w:p>
    <w:p w14:paraId="78CA3CFD" w14:textId="77777777" w:rsidR="00385021" w:rsidRDefault="0052766F">
      <w:pPr>
        <w:pStyle w:val="Heading1"/>
        <w:spacing w:before="360" w:after="180"/>
      </w:pPr>
      <w:r>
        <w:rPr>
          <w:b/>
          <w:bCs/>
          <w:sz w:val="30"/>
          <w:szCs w:val="30"/>
        </w:rPr>
        <w:t>Section 2: The Schmidt Evidence — Palatal Contact as the Neurologically Demanding State</w:t>
      </w:r>
    </w:p>
    <w:p w14:paraId="0192C09B" w14:textId="77777777" w:rsidR="00385021" w:rsidRDefault="0052766F">
      <w:pPr>
        <w:spacing w:before="80" w:after="80" w:line="360" w:lineRule="auto"/>
        <w:jc w:val="both"/>
      </w:pPr>
      <w:r>
        <w:rPr>
          <w:i/>
          <w:iCs/>
        </w:rPr>
        <w:t xml:space="preserve">Primary source: Schmidt JE, Carlson CR, Usery AR, Quevedo AS. Effects of tongue position on mandibular muscle activity and heart rate function. Oral Surgery, Oral Medicine, Oral Pathology, Oral Radiology, and Endodontology. 2009;108(6):881–888. </w:t>
      </w:r>
      <w:proofErr w:type="gramStart"/>
      <w:r>
        <w:rPr>
          <w:i/>
          <w:iCs/>
        </w:rPr>
        <w:t>doi:10.1016/j.tripleo</w:t>
      </w:r>
      <w:proofErr w:type="gramEnd"/>
      <w:r>
        <w:rPr>
          <w:i/>
          <w:iCs/>
        </w:rPr>
        <w:t>.2009.06.029</w:t>
      </w:r>
    </w:p>
    <w:p w14:paraId="75F3B62C" w14:textId="77777777" w:rsidR="00385021" w:rsidRDefault="00385021">
      <w:pPr>
        <w:spacing w:before="60" w:after="60"/>
      </w:pPr>
    </w:p>
    <w:p w14:paraId="21A0BB36" w14:textId="77777777" w:rsidR="00385021" w:rsidRDefault="0052766F">
      <w:pPr>
        <w:pStyle w:val="Heading2"/>
        <w:spacing w:before="280" w:after="140"/>
      </w:pPr>
      <w:r>
        <w:rPr>
          <w:b/>
          <w:bCs/>
        </w:rPr>
        <w:t>2.1 The Study Findings</w:t>
      </w:r>
    </w:p>
    <w:p w14:paraId="2E3AC3FC" w14:textId="77777777" w:rsidR="00385021" w:rsidRDefault="0052766F">
      <w:pPr>
        <w:spacing w:before="80" w:after="80" w:line="360" w:lineRule="auto"/>
        <w:jc w:val="both"/>
      </w:pPr>
      <w:r>
        <w:t xml:space="preserve">Schmidt and colleagues at the Mayo Clinic conducted a controlled study of 41 healthy young adults comparing surface EMG activity in the temporalis and suprahyoid muscle groups and heart rate variability under two conditions: tongue resting on the palate versus tongue resting on the floor of the mouth. The results demonstrated that tongue placement on the roof of the mouth increased muscle activation of the temporalis and suprahyoid muscles and affected heart rate </w:t>
      </w:r>
      <w:r>
        <w:lastRenderedPageBreak/>
        <w:t>variability compared to the floor-of-mouth position. Carlson and colleagues (1997) confirmed these findings in an earlier controlled study, and Valdes and colleagues (2013) further established that tongue position significantly affects temporalis and masseter EMG activity and the vertical dimension of occlusion.</w:t>
      </w:r>
    </w:p>
    <w:p w14:paraId="1F7D6B52" w14:textId="77777777" w:rsidR="00385021" w:rsidRDefault="0052766F">
      <w:pPr>
        <w:spacing w:before="80" w:after="80" w:line="360" w:lineRule="auto"/>
        <w:jc w:val="both"/>
      </w:pPr>
      <w:r>
        <w:t xml:space="preserve">These findings establish an important neurophysiological principle: lingual-palatal contact is the </w:t>
      </w:r>
      <w:proofErr w:type="gramStart"/>
      <w:r>
        <w:t>mechanically</w:t>
      </w:r>
      <w:proofErr w:type="gramEnd"/>
      <w:r>
        <w:t xml:space="preserve"> and neurologically demanding state. It requires active muscular engagement, generates </w:t>
      </w:r>
      <w:proofErr w:type="spellStart"/>
      <w:r>
        <w:t>Vmes</w:t>
      </w:r>
      <w:proofErr w:type="spellEnd"/>
      <w:r>
        <w:t xml:space="preserve"> afferent input through palatal mechanoreceptors, and drives the trigeminal-motor circuit in a way that the floor-of-mouth position does not. The floor of the mouth, by contrast, is the lower-demand, lower-input resting state. This distinction is clinically critical: a tongue resting on the floor of the mouth is not generating adequate </w:t>
      </w:r>
      <w:proofErr w:type="spellStart"/>
      <w:r>
        <w:t>Vmes</w:t>
      </w:r>
      <w:proofErr w:type="spellEnd"/>
      <w:r>
        <w:t xml:space="preserve"> mechanoreceptor input to sustain ARAS arousal tone during sleep. I</w:t>
      </w:r>
      <w:r>
        <w:t>t is, from the perspective of the brainstem circuit that prevents sleep apnea, a state of functional insufficiency.</w:t>
      </w:r>
    </w:p>
    <w:p w14:paraId="298AFB49" w14:textId="77777777" w:rsidR="00385021" w:rsidRDefault="0052766F">
      <w:pPr>
        <w:pStyle w:val="Heading2"/>
        <w:spacing w:before="280" w:after="140"/>
      </w:pPr>
      <w:r>
        <w:rPr>
          <w:b/>
          <w:bCs/>
        </w:rPr>
        <w:t>2.2 Stress Compensation and the Floor-of-Mouth Position</w:t>
      </w:r>
    </w:p>
    <w:p w14:paraId="53D6F8D5" w14:textId="77777777" w:rsidR="00385021" w:rsidRDefault="0052766F">
      <w:pPr>
        <w:spacing w:before="80" w:after="80" w:line="360" w:lineRule="auto"/>
        <w:jc w:val="both"/>
      </w:pPr>
      <w:r>
        <w:t>Understanding why some patients habitually rest their tongue on the floor rather than the palate requires distinguishing between two distinct clinical presentations. In patients with structural restriction — lingual frenulum tethering, HA densification of the sublingual fascial complex, or floor-of-mouth fascial restriction — the tongue cannot achieve comfortable lingual-palatal contact. The floor-of-mouth position is the path of least resistance because the structural alternative is mechanically blocked or</w:t>
      </w:r>
      <w:r>
        <w:t xml:space="preserve"> painful. In patients without significant structural restriction, the floor-of-mouth position may represent an autonomic stress compensation: when the nervous system is carrying a heavy autonomic load — from chronic pain, sleep deprivation, anxiety, or systemic illness — it may selectively reduce higher-demand activities to conserve regulatory capacity. Lowering the tongue to the floor of the mouth reduces the muscular and mechanoreceptor demand of palatal contact, providing a momentary reduction in sympath</w:t>
      </w:r>
      <w:r>
        <w:t xml:space="preserve">etic load. The body trades the neurological benefits of </w:t>
      </w:r>
      <w:proofErr w:type="spellStart"/>
      <w:r>
        <w:t>Vmes</w:t>
      </w:r>
      <w:proofErr w:type="spellEnd"/>
      <w:r>
        <w:t xml:space="preserve"> input for the short-term relief of reduced afferent demand.</w:t>
      </w:r>
    </w:p>
    <w:p w14:paraId="7914F0FF" w14:textId="77777777" w:rsidR="00385021" w:rsidRDefault="0052766F">
      <w:pPr>
        <w:spacing w:before="80" w:after="80" w:line="360" w:lineRule="auto"/>
        <w:jc w:val="both"/>
      </w:pPr>
      <w:r>
        <w:t xml:space="preserve">This compensation is self-defeating over time. By reducing lingual-palatal mechanoreceptor input, it degrades the </w:t>
      </w:r>
      <w:proofErr w:type="spellStart"/>
      <w:r>
        <w:t>Vmes</w:t>
      </w:r>
      <w:proofErr w:type="spellEnd"/>
      <w:r>
        <w:t xml:space="preserve"> afferent signal that the ARAS depends on — worsening the sleep quality that is contributing to the stress that generated the compensation in the first place. And by maintaining the sublingual tissue in a chronically low, compressed, low-gliding position, it initiates the HA densification process that will eventually transform a functional stress response into a structural restriction. The compensation creates the very condition it was attempting to avoid.</w:t>
      </w:r>
    </w:p>
    <w:p w14:paraId="336E5CE0" w14:textId="77777777" w:rsidR="00385021" w:rsidRDefault="0052766F">
      <w:pPr>
        <w:pStyle w:val="Heading2"/>
        <w:spacing w:before="280" w:after="140"/>
      </w:pPr>
      <w:r>
        <w:rPr>
          <w:b/>
          <w:bCs/>
        </w:rPr>
        <w:lastRenderedPageBreak/>
        <w:t>2.3 Why Exercise-Based Correction Fails Without Addressing the Underlying State</w:t>
      </w:r>
    </w:p>
    <w:p w14:paraId="2BEDC921" w14:textId="77777777" w:rsidR="00385021" w:rsidRDefault="0052766F">
      <w:pPr>
        <w:spacing w:before="80" w:after="80" w:line="360" w:lineRule="auto"/>
        <w:jc w:val="both"/>
      </w:pPr>
      <w:r>
        <w:t xml:space="preserve">The Schmidt data </w:t>
      </w:r>
      <w:proofErr w:type="gramStart"/>
      <w:r>
        <w:t>explain</w:t>
      </w:r>
      <w:proofErr w:type="gramEnd"/>
      <w:r>
        <w:t xml:space="preserve"> why </w:t>
      </w:r>
      <w:proofErr w:type="gramStart"/>
      <w:r>
        <w:t>instruction</w:t>
      </w:r>
      <w:proofErr w:type="gramEnd"/>
      <w:r>
        <w:t xml:space="preserve"> to "practice keeping the tongue on the palate" reliably fails in patients with either structural restriction or autonomic stress compensation. In the structurally restricted patient, the instruction demands a movement the anatomy does not permit without compensatory muscular recruitment — which generates more tension and deepens the restriction rather than resolving it. In the stress-compensating patient, it asks the nervous system to abandon a coping strategy it adopted for a reason</w:t>
      </w:r>
      <w:r>
        <w:t>, through voluntary effort that itself adds to the sympathetic load the compensation was managing. In both cases, as articulated in the orofacial myofunctional therapy literature, if the patient is utilizing compensations to perform an activity such as tongue elevation, they are strengthening a dysfunctional pattern by exercising into it, therefore creating complex fascial and neurological restrictions. The clinical solution is to address the conditions that make the compensation necessary — structural rest</w:t>
      </w:r>
      <w:r>
        <w:t>riction through fascial release, and autonomic stress through neural circuit rehabilitation — before or alongside any attempt at functional retraining.</w:t>
      </w:r>
    </w:p>
    <w:p w14:paraId="5C49C2F7" w14:textId="77777777" w:rsidR="00385021" w:rsidRDefault="00385021">
      <w:pPr>
        <w:spacing w:before="60" w:after="60"/>
      </w:pPr>
    </w:p>
    <w:p w14:paraId="14C95E9E" w14:textId="77777777" w:rsidR="00385021" w:rsidRDefault="0052766F">
      <w:pPr>
        <w:pStyle w:val="Heading1"/>
        <w:spacing w:before="360" w:after="180"/>
      </w:pPr>
      <w:r>
        <w:rPr>
          <w:b/>
          <w:bCs/>
          <w:sz w:val="30"/>
          <w:szCs w:val="30"/>
        </w:rPr>
        <w:t>Section 3: Hyaluronic Acid Densification — How Low Tongue Posture Becomes Structural Restriction</w:t>
      </w:r>
    </w:p>
    <w:p w14:paraId="0C3F818F" w14:textId="77777777" w:rsidR="00385021" w:rsidRDefault="0052766F">
      <w:pPr>
        <w:spacing w:before="80" w:after="80" w:line="360" w:lineRule="auto"/>
        <w:jc w:val="both"/>
      </w:pPr>
      <w:r>
        <w:rPr>
          <w:i/>
          <w:iCs/>
        </w:rPr>
        <w:t xml:space="preserve">Primary sources: Pratt RL. Hyaluronan and the Fascial Frontier. Int J Mol Sci. 2021;22(13):6845. | </w:t>
      </w:r>
      <w:proofErr w:type="spellStart"/>
      <w:r>
        <w:rPr>
          <w:i/>
          <w:iCs/>
        </w:rPr>
        <w:t>Stecco</w:t>
      </w:r>
      <w:proofErr w:type="spellEnd"/>
      <w:r>
        <w:rPr>
          <w:i/>
          <w:iCs/>
        </w:rPr>
        <w:t xml:space="preserve"> C et al. Hyaluronan within fascia in the etiology of myofascial pain. Surg </w:t>
      </w:r>
      <w:proofErr w:type="spellStart"/>
      <w:r>
        <w:rPr>
          <w:i/>
          <w:iCs/>
        </w:rPr>
        <w:t>Radiol</w:t>
      </w:r>
      <w:proofErr w:type="spellEnd"/>
      <w:r>
        <w:rPr>
          <w:i/>
          <w:iCs/>
        </w:rPr>
        <w:t xml:space="preserve"> Anat. 2011;33(10):891–896. | </w:t>
      </w:r>
      <w:proofErr w:type="spellStart"/>
      <w:r>
        <w:rPr>
          <w:i/>
          <w:iCs/>
        </w:rPr>
        <w:t>Stecco</w:t>
      </w:r>
      <w:proofErr w:type="spellEnd"/>
      <w:r>
        <w:rPr>
          <w:i/>
          <w:iCs/>
        </w:rPr>
        <w:t xml:space="preserve"> A et al. Fascial components of the myofascial pain syndrome. Curr Pain Headache Rep. 2013;17(8):352.</w:t>
      </w:r>
    </w:p>
    <w:p w14:paraId="7B59FA3A" w14:textId="77777777" w:rsidR="00385021" w:rsidRDefault="00385021">
      <w:pPr>
        <w:spacing w:before="60" w:after="60"/>
      </w:pPr>
    </w:p>
    <w:p w14:paraId="45E17483" w14:textId="77777777" w:rsidR="00385021" w:rsidRDefault="0052766F">
      <w:pPr>
        <w:pStyle w:val="Heading2"/>
        <w:spacing w:before="280" w:after="140"/>
      </w:pPr>
      <w:r>
        <w:rPr>
          <w:b/>
          <w:bCs/>
        </w:rPr>
        <w:t>3.1 Hyaluronic Acid as the Fascial Gliding Variable</w:t>
      </w:r>
    </w:p>
    <w:p w14:paraId="753F9FBA" w14:textId="77777777" w:rsidR="00385021" w:rsidRDefault="0052766F">
      <w:pPr>
        <w:spacing w:before="80" w:after="80" w:line="360" w:lineRule="auto"/>
        <w:jc w:val="both"/>
      </w:pPr>
      <w:r>
        <w:t xml:space="preserve">The floor of the mouth contains a rich network of loose connective tissue whose gliding capacity determines the tongue's functional range of motion. Hyaluronic acid (HA) is the primary molecular determinant of this gliding capacity. In its normal, hydrated, low-molecular-weight state, HA allows adjacent fascial layers to slide freely with minimal friction. </w:t>
      </w:r>
      <w:proofErr w:type="spellStart"/>
      <w:r>
        <w:t>Fasciacytes</w:t>
      </w:r>
      <w:proofErr w:type="spellEnd"/>
      <w:r>
        <w:t xml:space="preserve"> — identified by </w:t>
      </w:r>
      <w:proofErr w:type="spellStart"/>
      <w:r>
        <w:t>Stecco</w:t>
      </w:r>
      <w:proofErr w:type="spellEnd"/>
      <w:r>
        <w:t xml:space="preserve"> and colleagues in 2018 — continuously synthesize HA into the </w:t>
      </w:r>
      <w:proofErr w:type="spellStart"/>
      <w:r>
        <w:t>interfascial</w:t>
      </w:r>
      <w:proofErr w:type="spellEnd"/>
      <w:r>
        <w:t xml:space="preserve"> loose connective tissue to maintain this fluid environment. When the fascial interface is subjected to repeated compressive mechanical loading, pH changes, inflammatory states, or prolonged positional immobility, HA polymerizes into long-chain, high-molecular-weight superstructures that are highly viscous, poorly </w:t>
      </w:r>
      <w:r>
        <w:lastRenderedPageBreak/>
        <w:t>lubricating, and mechanically resistant. Pratt (2021) documented that this densification</w:t>
      </w:r>
      <w:r>
        <w:t xml:space="preserve"> state is theoretically reversible through modifications of temperature, pH, and mechanical strain — the biophysical basis of the RestOralase thermal fascial release mechanism.</w:t>
      </w:r>
    </w:p>
    <w:p w14:paraId="24DF901E" w14:textId="77777777" w:rsidR="00385021" w:rsidRDefault="0052766F">
      <w:pPr>
        <w:pStyle w:val="Heading2"/>
        <w:spacing w:before="280" w:after="140"/>
      </w:pPr>
      <w:r>
        <w:rPr>
          <w:b/>
          <w:bCs/>
        </w:rPr>
        <w:t>3.2 How Low Tongue Posture Drives Densification</w:t>
      </w:r>
    </w:p>
    <w:p w14:paraId="2FA897F4" w14:textId="77777777" w:rsidR="00385021" w:rsidRDefault="0052766F">
      <w:pPr>
        <w:spacing w:before="80" w:after="80" w:line="360" w:lineRule="auto"/>
        <w:jc w:val="both"/>
      </w:pPr>
      <w:r>
        <w:t>The connection between habitual low tongue posture and progressive HA densification is direct and mechanistically coherent. The floor-of-mouth fascial complex, maintained in a chronically compressed, low-gliding position by the depressed tongue, experiences the precise conditions that drive HA polymerization: repeated compressive mechanical loading from the elevated suprahyoid muscle tone that Schmidt's data confirm accompanies the low-posture state; reduced pH in the local tissue environment from chronic l</w:t>
      </w:r>
      <w:r>
        <w:t xml:space="preserve">ow-grade ischemia produced by sustained muscular compression of the sublingual microvasculature; and absence of the rhythmic gliding movement that normal tongue elevation would generate. </w:t>
      </w:r>
      <w:proofErr w:type="spellStart"/>
      <w:r>
        <w:t>Stecco</w:t>
      </w:r>
      <w:proofErr w:type="spellEnd"/>
      <w:r>
        <w:t xml:space="preserve"> and colleagues (2011) established that alterations in HA concentration and molecular structure in fascial loose connective tissue produce densification — restriction of gliding and sensitization of the myelinated and unmyelinated nerve fibers distributed throughout the deep fascia. Over weeks to months, the low-postu</w:t>
      </w:r>
      <w:r>
        <w:t>re position becomes progressively more structurally justified: the tissue has thickened around it.</w:t>
      </w:r>
    </w:p>
    <w:p w14:paraId="71DA494C" w14:textId="77777777" w:rsidR="00385021" w:rsidRDefault="0052766F">
      <w:pPr>
        <w:pStyle w:val="Heading2"/>
        <w:spacing w:before="280" w:after="140"/>
      </w:pPr>
      <w:r>
        <w:rPr>
          <w:b/>
          <w:bCs/>
        </w:rPr>
        <w:t>3.3 The Self-Sustaining Restriction Cycle</w:t>
      </w:r>
    </w:p>
    <w:p w14:paraId="5E3AEAC2" w14:textId="77777777" w:rsidR="00385021" w:rsidRDefault="0052766F">
      <w:pPr>
        <w:spacing w:before="80" w:after="80" w:line="360" w:lineRule="auto"/>
        <w:jc w:val="both"/>
      </w:pPr>
      <w:r>
        <w:t>The clinical consequence of established HA densification is a restriction cycle that operates across three levels simultaneously. At the structural level, the thickened fascial tissue physically limits tongue elevation — making the floor-of-mouth position increasingly the only comfortable option and making lingual-palatal contact increasingly difficult and fatiguing. At the sensory level, the sensitized C-fiber nociceptors within the densified fascial tissue generate nociceptive afferent discharge through t</w:t>
      </w:r>
      <w:r>
        <w:t xml:space="preserve">he lingual nerve that the patient experiences as tightness or pain during attempted tongue elevation — reinforcing the nervous system's preference for the low position. At the neural circuit level, the degraded </w:t>
      </w:r>
      <w:proofErr w:type="spellStart"/>
      <w:r>
        <w:t>Vmes</w:t>
      </w:r>
      <w:proofErr w:type="spellEnd"/>
      <w:r>
        <w:t xml:space="preserve"> input from inadequate lingual-palatal contact — confirmed by the weak SWITCH test leg response — reduces ARAS arousal sustentation during sleep, worsening sleep quality, deepening the autonomic stress load, and strengthening the compensatory drive toward floor-of-mouth posture. Any single interv</w:t>
      </w:r>
      <w:r>
        <w:t>ention that addresses only one level of this cycle without attending to the others will find the cycle reasserts itself.</w:t>
      </w:r>
    </w:p>
    <w:p w14:paraId="154D01F3" w14:textId="77777777" w:rsidR="00385021" w:rsidRDefault="00385021">
      <w:pPr>
        <w:spacing w:before="60" w:after="60"/>
      </w:pPr>
    </w:p>
    <w:p w14:paraId="46508937" w14:textId="77777777" w:rsidR="00385021" w:rsidRDefault="0052766F">
      <w:pPr>
        <w:pStyle w:val="Heading1"/>
        <w:spacing w:before="360" w:after="180"/>
      </w:pPr>
      <w:r>
        <w:rPr>
          <w:b/>
          <w:bCs/>
          <w:sz w:val="30"/>
          <w:szCs w:val="30"/>
        </w:rPr>
        <w:lastRenderedPageBreak/>
        <w:t>Section 4: The Therapeutic Goal — Swallow Conversion and the Role of Device Support</w:t>
      </w:r>
    </w:p>
    <w:p w14:paraId="1AACD6D4" w14:textId="77777777" w:rsidR="00385021" w:rsidRDefault="00385021">
      <w:pPr>
        <w:spacing w:before="60" w:after="60"/>
      </w:pPr>
    </w:p>
    <w:p w14:paraId="73BA404E" w14:textId="77777777" w:rsidR="00385021" w:rsidRDefault="0052766F">
      <w:pPr>
        <w:pStyle w:val="Heading2"/>
        <w:spacing w:before="280" w:after="140"/>
      </w:pPr>
      <w:r>
        <w:rPr>
          <w:b/>
          <w:bCs/>
        </w:rPr>
        <w:t>4.1 The NFDM Therapeutic Continuum</w:t>
      </w:r>
    </w:p>
    <w:p w14:paraId="4B41E081" w14:textId="77777777" w:rsidR="00385021" w:rsidRDefault="0052766F">
      <w:pPr>
        <w:spacing w:before="80" w:after="80" w:line="360" w:lineRule="auto"/>
        <w:jc w:val="both"/>
      </w:pPr>
      <w:r>
        <w:t xml:space="preserve">The Neurofunctional Dental Medicine framework positions the full therapeutic appliance family as a continuum of support for </w:t>
      </w:r>
      <w:proofErr w:type="spellStart"/>
      <w:r>
        <w:t>Vmes</w:t>
      </w:r>
      <w:proofErr w:type="spellEnd"/>
      <w:r>
        <w:t xml:space="preserve"> input during the process of swallow conversion — the ultimate clinical goal. Each device in the NFDM family provides lingual-palatal mechanotransduction through a different mechanism and at a different level of structural and neurological support, allowing the clinician to match the device to the patient's current stage of structural restriction, neural circuit function, and swallow conversion progress. All devices serve the same proximate purpose: temporarily providing or supporting the palatal mechan</w:t>
      </w:r>
      <w:r>
        <w:t>oreceptor stimulation that the patient's dysfunctional swallow is failing to generate, while the underlying structural restriction, neural sensitization, and autonomic compensation state are progressively addressed.</w:t>
      </w:r>
    </w:p>
    <w:p w14:paraId="394E8B8E" w14:textId="77777777" w:rsidR="00385021" w:rsidRDefault="0052766F">
      <w:pPr>
        <w:pStyle w:val="Heading2"/>
        <w:spacing w:before="280" w:after="140"/>
      </w:pPr>
      <w:r>
        <w:rPr>
          <w:b/>
          <w:bCs/>
        </w:rPr>
        <w:t>4.2 Swallow Conversion as the Ultimate Goal</w:t>
      </w:r>
    </w:p>
    <w:p w14:paraId="154CA67F" w14:textId="77777777" w:rsidR="00385021" w:rsidRDefault="0052766F">
      <w:pPr>
        <w:spacing w:before="80" w:after="80" w:line="360" w:lineRule="auto"/>
        <w:jc w:val="both"/>
      </w:pPr>
      <w:r>
        <w:t xml:space="preserve">Swallow conversion — the transition from a dysfunctional swallowing pattern to a functional one that generates consistent, adequate lingual-palatal </w:t>
      </w:r>
      <w:proofErr w:type="spellStart"/>
      <w:r>
        <w:t>Vmes</w:t>
      </w:r>
      <w:proofErr w:type="spellEnd"/>
      <w:r>
        <w:t xml:space="preserve"> afferent input without device support — is the endpoint that all NFDM interventions are working toward. A patient who achieves swallow conversion no longer requires device-mediated mechanotransduction to sustain ARAS circuit function: their own functional swallow generates the </w:t>
      </w:r>
      <w:proofErr w:type="spellStart"/>
      <w:r>
        <w:t>Vmes</w:t>
      </w:r>
      <w:proofErr w:type="spellEnd"/>
      <w:r>
        <w:t xml:space="preserve"> input the brainstem needs. The SWITCH test confirms swallow conversion when the ipsilateral leg resistance response is consistently strong without device insertion — meaning the patient's unassisted swallowing pattern is now</w:t>
      </w:r>
      <w:r>
        <w:t xml:space="preserve"> providing the </w:t>
      </w:r>
      <w:proofErr w:type="spellStart"/>
      <w:r>
        <w:t>Vmes</w:t>
      </w:r>
      <w:proofErr w:type="spellEnd"/>
      <w:r>
        <w:t xml:space="preserve"> circuit with adequate input. This is the most durable and therapeutically complete outcome. It represents not the management of </w:t>
      </w:r>
      <w:proofErr w:type="gramStart"/>
      <w:r>
        <w:t>a dysfunction</w:t>
      </w:r>
      <w:proofErr w:type="gramEnd"/>
      <w:r>
        <w:t xml:space="preserve"> but its resolution.</w:t>
      </w:r>
    </w:p>
    <w:p w14:paraId="389C1CCB" w14:textId="77777777" w:rsidR="00385021" w:rsidRDefault="0052766F">
      <w:pPr>
        <w:pStyle w:val="Heading2"/>
        <w:spacing w:before="280" w:after="140"/>
      </w:pPr>
      <w:r>
        <w:rPr>
          <w:b/>
          <w:bCs/>
        </w:rPr>
        <w:t>4.3 Device Dependency as a Clinically Acceptable Outcome</w:t>
      </w:r>
    </w:p>
    <w:p w14:paraId="58097C99" w14:textId="77777777" w:rsidR="00385021" w:rsidRDefault="0052766F">
      <w:pPr>
        <w:spacing w:before="80" w:after="80" w:line="360" w:lineRule="auto"/>
        <w:jc w:val="both"/>
      </w:pPr>
      <w:r>
        <w:t xml:space="preserve">Not all patients achieve full swallow conversion. For patients with long-standing structural </w:t>
      </w:r>
      <w:proofErr w:type="gramStart"/>
      <w:r>
        <w:t>restriction</w:t>
      </w:r>
      <w:proofErr w:type="gramEnd"/>
      <w:r>
        <w:t xml:space="preserve">, neurological conditions that limit the plasticity of the swallowing circuit, or autonomic states that cannot be sufficiently normalized within the treatment course, the functional swallowing pattern may not fully consolidate without ongoing device support. For these patients, device-mediated mechanotransduction — through the TORNADO device, the NINJA device, the ALF appliance, or other NFDM appliances worn during sleep — provides the </w:t>
      </w:r>
      <w:proofErr w:type="spellStart"/>
      <w:r>
        <w:t>Vmes</w:t>
      </w:r>
      <w:proofErr w:type="spellEnd"/>
      <w:r>
        <w:t xml:space="preserve"> circuit with the </w:t>
      </w:r>
      <w:r>
        <w:lastRenderedPageBreak/>
        <w:t>palatal contact stimulation their swall</w:t>
      </w:r>
      <w:r>
        <w:t xml:space="preserve">ow does not reliably generate. The SWITCH test confirms that the device is providing functionally adequate </w:t>
      </w:r>
      <w:proofErr w:type="spellStart"/>
      <w:r>
        <w:t>Vmes</w:t>
      </w:r>
      <w:proofErr w:type="spellEnd"/>
      <w:r>
        <w:t xml:space="preserve"> input: a strong leg resistance response with the device in situ confirms that mechanotransduction through the palatal contact of the appliance is substituting for the swallow-generated input the patient cannot independently sustain. This is a clinically acceptable long-term outcome within the NFDM model — analogous to the use of corrective lenses for refractive error: the underlying condition is m</w:t>
      </w:r>
      <w:r>
        <w:t>anaged effectively and functionally, even if not fully self-corrected.</w:t>
      </w:r>
    </w:p>
    <w:p w14:paraId="7EFDE626" w14:textId="77777777" w:rsidR="00385021" w:rsidRDefault="00385021">
      <w:pPr>
        <w:spacing w:before="60" w:after="60"/>
      </w:pPr>
    </w:p>
    <w:p w14:paraId="6D734793" w14:textId="77777777" w:rsidR="00385021" w:rsidRDefault="0052766F">
      <w:pPr>
        <w:pStyle w:val="Heading1"/>
        <w:spacing w:before="360" w:after="180"/>
      </w:pPr>
      <w:r>
        <w:rPr>
          <w:b/>
          <w:bCs/>
          <w:sz w:val="30"/>
          <w:szCs w:val="30"/>
        </w:rPr>
        <w:t>Section 5: The NFDM Therapeutic Appliance Family</w:t>
      </w:r>
    </w:p>
    <w:p w14:paraId="7A8DB155" w14:textId="77777777" w:rsidR="00385021" w:rsidRDefault="00385021">
      <w:pPr>
        <w:spacing w:before="60" w:after="60"/>
      </w:pPr>
    </w:p>
    <w:p w14:paraId="28D90F7A" w14:textId="77777777" w:rsidR="00385021" w:rsidRDefault="0052766F">
      <w:pPr>
        <w:pStyle w:val="Heading2"/>
        <w:spacing w:before="280" w:after="140"/>
      </w:pPr>
      <w:r>
        <w:rPr>
          <w:b/>
          <w:bCs/>
        </w:rPr>
        <w:t>5.1 BabyLase — Developmental Prevention at the Root of the Cycle</w:t>
      </w:r>
    </w:p>
    <w:p w14:paraId="2A339011" w14:textId="77777777" w:rsidR="00385021" w:rsidRDefault="0052766F">
      <w:pPr>
        <w:spacing w:before="80" w:after="80" w:line="360" w:lineRule="auto"/>
        <w:jc w:val="both"/>
      </w:pPr>
      <w:r>
        <w:rPr>
          <w:i/>
          <w:iCs/>
        </w:rPr>
        <w:t>Protocol developed by Dr. Angie Tenholder within the Neurofunctional Dental Medicine framework.</w:t>
      </w:r>
    </w:p>
    <w:p w14:paraId="172AA05D" w14:textId="77777777" w:rsidR="00385021" w:rsidRDefault="00385021">
      <w:pPr>
        <w:spacing w:before="60" w:after="60"/>
      </w:pPr>
    </w:p>
    <w:p w14:paraId="5956CE80" w14:textId="77777777" w:rsidR="00385021" w:rsidRDefault="0052766F">
      <w:pPr>
        <w:spacing w:before="80" w:after="80" w:line="360" w:lineRule="auto"/>
        <w:jc w:val="both"/>
      </w:pPr>
      <w:r>
        <w:t xml:space="preserve">BabyLase is the NFDM photobiomodulation protocol for infants and young children, designed to interrupt the dysfunctional swallow-low posture-densification cycle before it generates the structural and neurological restriction that later protocols must address. The Andrisani (2015) SIDS model establishes that the maturation of </w:t>
      </w:r>
      <w:proofErr w:type="spellStart"/>
      <w:r>
        <w:t>Vmes</w:t>
      </w:r>
      <w:proofErr w:type="spellEnd"/>
      <w:r>
        <w:t xml:space="preserve">-ARAS circuit synapses depends on the quality of orofacial mechanoreceptor experience — particularly lingual-palatal contact during suckling and early swallowing. An infant whose tongue is restricted from achieving palatal contact by tethered oral tissue or early fascial tightness receives degraded </w:t>
      </w:r>
      <w:proofErr w:type="spellStart"/>
      <w:r>
        <w:t>Vmes</w:t>
      </w:r>
      <w:proofErr w:type="spellEnd"/>
      <w:r>
        <w:t xml:space="preserve"> input during the most critical period of brainstem circuit synaptogenesis, setting a developmental trajectory toward </w:t>
      </w:r>
      <w:proofErr w:type="spellStart"/>
      <w:r>
        <w:t>Vmes</w:t>
      </w:r>
      <w:proofErr w:type="spellEnd"/>
      <w:r>
        <w:t xml:space="preserve"> circuit insufficiency, sleep-disordered breathing, and the compensatory low-postu</w:t>
      </w:r>
      <w:r>
        <w:t xml:space="preserve">re pattern that Schmidt's data confirm is associated with inadequate palatal mechanoreceptor activation. BabyLase applies gentle photobiomodulation to the intraoral structures — lingual frenulum, palatal mucosa, buccal mucosa, perioral musculature — to calm restricted tissues, reduce the inflammatory sensitization that makes palatal contact uncomfortable, and support the normal lingual-palatal sensory experience upon which </w:t>
      </w:r>
      <w:proofErr w:type="spellStart"/>
      <w:r>
        <w:t>Vmes</w:t>
      </w:r>
      <w:proofErr w:type="spellEnd"/>
      <w:r>
        <w:t xml:space="preserve"> circuit LTP-dependent maturation depends.</w:t>
      </w:r>
    </w:p>
    <w:p w14:paraId="723CDF9C" w14:textId="77777777" w:rsidR="00385021" w:rsidRDefault="0052766F">
      <w:pPr>
        <w:pStyle w:val="Heading2"/>
        <w:spacing w:before="280" w:after="140"/>
      </w:pPr>
      <w:r>
        <w:rPr>
          <w:b/>
          <w:bCs/>
        </w:rPr>
        <w:t>5.2 OraLase and RestOralase — Neural Desensitization and Structural Fascial Release</w:t>
      </w:r>
    </w:p>
    <w:p w14:paraId="245B5F15" w14:textId="77777777" w:rsidR="00385021" w:rsidRDefault="0052766F">
      <w:pPr>
        <w:spacing w:before="80" w:after="80" w:line="360" w:lineRule="auto"/>
        <w:jc w:val="both"/>
      </w:pPr>
      <w:r>
        <w:rPr>
          <w:i/>
          <w:iCs/>
        </w:rPr>
        <w:lastRenderedPageBreak/>
        <w:t xml:space="preserve">OraLase developed by Dr. Darick Nordstrom. RestOralase developed by Dr. Angie Tenholder as a superset of OraLase, adding PPRT and </w:t>
      </w:r>
      <w:proofErr w:type="spellStart"/>
      <w:proofErr w:type="gramStart"/>
      <w:r>
        <w:rPr>
          <w:i/>
          <w:iCs/>
        </w:rPr>
        <w:t>Er:YAG</w:t>
      </w:r>
      <w:proofErr w:type="spellEnd"/>
      <w:proofErr w:type="gramEnd"/>
      <w:r>
        <w:rPr>
          <w:i/>
          <w:iCs/>
        </w:rPr>
        <w:t xml:space="preserve"> soft palate remodeling.</w:t>
      </w:r>
    </w:p>
    <w:p w14:paraId="605B6266" w14:textId="77777777" w:rsidR="00385021" w:rsidRDefault="00385021">
      <w:pPr>
        <w:spacing w:before="60" w:after="60"/>
      </w:pPr>
    </w:p>
    <w:p w14:paraId="2CDABE9E" w14:textId="77777777" w:rsidR="00385021" w:rsidRDefault="0052766F">
      <w:pPr>
        <w:spacing w:before="80" w:after="80" w:line="360" w:lineRule="auto"/>
        <w:jc w:val="both"/>
      </w:pPr>
      <w:r>
        <w:t xml:space="preserve">OraLase, developed by Dr. Darick Nordstrom, delivers intraoral photobiomodulation to normalize the afferent signal quality from oral tissues — reducing the inflammatory and nociceptive afferent discharge that degrades the </w:t>
      </w:r>
      <w:proofErr w:type="spellStart"/>
      <w:r>
        <w:t>Vmes</w:t>
      </w:r>
      <w:proofErr w:type="spellEnd"/>
      <w:r>
        <w:t xml:space="preserve"> proprioceptive signal and promotes the compensatory low-posture state. RestOralase, developed by Dr. Tenholder as a superset of OraLase, adds the structural interventions that OraLase alone cannot provide. The 1064 nm laser component delivers </w:t>
      </w:r>
      <w:proofErr w:type="spellStart"/>
      <w:r>
        <w:t>OraLase's</w:t>
      </w:r>
      <w:proofErr w:type="spellEnd"/>
      <w:r>
        <w:t xml:space="preserve"> complete photobiomodulation — C-fiber TRPV1 desensitization, nitric oxide-mediated vasodilation, CCO-mediated ATP synthesis, BDNF upregulation — while simultaneously raising the sublingual fascial interface above 40°C, triggering the HA phase transition </w:t>
      </w:r>
      <w:r>
        <w:t xml:space="preserve">documented by Pratt (2021) in which the densified HA superstructure progressively breaks down with decreasing viscosity. FLIR thermographic monitoring confirms this threshold is reached before the progressive pressure release technique (PPRT) is applied, achieving structural fascial separation of the restriction that the thermal preparation has softened. The </w:t>
      </w:r>
      <w:proofErr w:type="spellStart"/>
      <w:proofErr w:type="gramStart"/>
      <w:r>
        <w:t>Er:YAG</w:t>
      </w:r>
      <w:proofErr w:type="spellEnd"/>
      <w:proofErr w:type="gramEnd"/>
      <w:r>
        <w:t xml:space="preserve"> soft palate component then addresses the airway side of the cycle through non-ablative collagen remodeling documented by Lukač and colleagues (2</w:t>
      </w:r>
      <w:r>
        <w:t>021), firming the soft palate, reducing nocturnal airway vibration, and decreasing the oropharyngeal trigeminal afferent sensitization that sustains the autonomic stress load driving compensatory low-posture behavior. By simultaneously reducing the structural barrier to palatal contact, the nociceptive afferent load discouraging palatal contact, and the stress load promoting floor-of-mouth compensation, RestOralase creates the optimal tissue and neural environment in which SWITCH test-guided appliance thera</w:t>
      </w:r>
      <w:r>
        <w:t>py can drive swallow conversion.</w:t>
      </w:r>
    </w:p>
    <w:p w14:paraId="5ECF8BE3" w14:textId="77777777" w:rsidR="00385021" w:rsidRDefault="0052766F">
      <w:pPr>
        <w:pStyle w:val="Heading2"/>
        <w:spacing w:before="280" w:after="140"/>
      </w:pPr>
      <w:r>
        <w:rPr>
          <w:b/>
          <w:bCs/>
        </w:rPr>
        <w:t>5.3 The ALF Appliance — Dynamic Proprioceptive Foundation</w:t>
      </w:r>
    </w:p>
    <w:p w14:paraId="5B367129" w14:textId="77777777" w:rsidR="00385021" w:rsidRDefault="0052766F">
      <w:pPr>
        <w:spacing w:before="80" w:after="80" w:line="360" w:lineRule="auto"/>
        <w:jc w:val="both"/>
      </w:pPr>
      <w:r>
        <w:rPr>
          <w:i/>
          <w:iCs/>
        </w:rPr>
        <w:t xml:space="preserve">ALF appliance developed by Dr. Darick Nordstrom. Utilized within the NFDM framework for </w:t>
      </w:r>
      <w:proofErr w:type="spellStart"/>
      <w:r>
        <w:rPr>
          <w:i/>
          <w:iCs/>
        </w:rPr>
        <w:t>Vmes</w:t>
      </w:r>
      <w:proofErr w:type="spellEnd"/>
      <w:r>
        <w:rPr>
          <w:i/>
          <w:iCs/>
        </w:rPr>
        <w:t xml:space="preserve"> circuit proprioceptive re-entrainment.</w:t>
      </w:r>
    </w:p>
    <w:p w14:paraId="52A008BC" w14:textId="77777777" w:rsidR="00385021" w:rsidRDefault="00385021">
      <w:pPr>
        <w:spacing w:before="60" w:after="60"/>
      </w:pPr>
    </w:p>
    <w:p w14:paraId="607C0224" w14:textId="77777777" w:rsidR="00385021" w:rsidRDefault="0052766F">
      <w:pPr>
        <w:spacing w:before="80" w:after="80" w:line="360" w:lineRule="auto"/>
        <w:jc w:val="both"/>
      </w:pPr>
      <w:r>
        <w:t xml:space="preserve">The Advanced Lightwire Functional (ALF) appliance, developed by Dr. Darick Nordstrom, provides the dynamic proprioceptive foundation from which both the TORNADO and NINJA devices evolved. As a light, flexible wire appliance delivering continuous low-amplitude oscillatory mechanical loading to the periodontal ligament and palatal mucosa, the ALF provides ongoing </w:t>
      </w:r>
      <w:proofErr w:type="spellStart"/>
      <w:r>
        <w:t>Vmes</w:t>
      </w:r>
      <w:proofErr w:type="spellEnd"/>
      <w:r>
        <w:t xml:space="preserve"> circuit re-entrainment through a force system that approximates physiological masticatory loading. Each swallow, mastication cycle, and tongue movement against the ALF wire generates </w:t>
      </w:r>
      <w:r>
        <w:lastRenderedPageBreak/>
        <w:t xml:space="preserve">a modified </w:t>
      </w:r>
      <w:proofErr w:type="spellStart"/>
      <w:r>
        <w:t>Vmes</w:t>
      </w:r>
      <w:proofErr w:type="spellEnd"/>
      <w:r>
        <w:t xml:space="preserve"> afferent input that enriches the palatal mechanoreceptor signal beyond what the patient's dysfunctional swallow alone produces. Within the NFDM therapeutic continuum, the ALF is particularly suited to the subadult and adolescent patient in whom biologically directed arch development is concurrent with </w:t>
      </w:r>
      <w:proofErr w:type="spellStart"/>
      <w:r>
        <w:t>Vmes</w:t>
      </w:r>
      <w:proofErr w:type="spellEnd"/>
      <w:r>
        <w:t xml:space="preserve"> </w:t>
      </w:r>
      <w:r>
        <w:t>circuit rehabilitation.</w:t>
      </w:r>
    </w:p>
    <w:p w14:paraId="106B03DC" w14:textId="77777777" w:rsidR="00385021" w:rsidRDefault="0052766F">
      <w:pPr>
        <w:pStyle w:val="Heading2"/>
        <w:spacing w:before="280" w:after="140"/>
      </w:pPr>
      <w:r>
        <w:rPr>
          <w:b/>
          <w:bCs/>
        </w:rPr>
        <w:t xml:space="preserve">5.4 The TORNADO Device — Therapeutic Oral Retention for </w:t>
      </w:r>
      <w:proofErr w:type="spellStart"/>
      <w:r>
        <w:rPr>
          <w:b/>
          <w:bCs/>
        </w:rPr>
        <w:t>Vmes</w:t>
      </w:r>
      <w:proofErr w:type="spellEnd"/>
      <w:r>
        <w:rPr>
          <w:b/>
          <w:bCs/>
        </w:rPr>
        <w:t xml:space="preserve"> Circuit Support</w:t>
      </w:r>
    </w:p>
    <w:p w14:paraId="747FCE29" w14:textId="77777777" w:rsidR="00385021" w:rsidRDefault="0052766F">
      <w:pPr>
        <w:spacing w:before="80" w:after="80" w:line="360" w:lineRule="auto"/>
        <w:jc w:val="both"/>
      </w:pPr>
      <w:r>
        <w:rPr>
          <w:i/>
          <w:iCs/>
        </w:rPr>
        <w:t>Developed by Dr. Angie Tenholder within the Neurofunctional Dental Medicine framework. TORNADO: Therapeutic Oral Retention as Neurofunctional Active Dynamic Optimization.</w:t>
      </w:r>
    </w:p>
    <w:p w14:paraId="6614E06C" w14:textId="77777777" w:rsidR="00385021" w:rsidRDefault="00385021">
      <w:pPr>
        <w:spacing w:before="60" w:after="60"/>
      </w:pPr>
    </w:p>
    <w:p w14:paraId="49F26DDE" w14:textId="77777777" w:rsidR="00385021" w:rsidRDefault="0052766F">
      <w:pPr>
        <w:spacing w:before="80" w:after="80" w:line="360" w:lineRule="auto"/>
        <w:jc w:val="both"/>
      </w:pPr>
      <w:r>
        <w:t xml:space="preserve">The TORNADO device, developed by Dr. Tenholder, is designed specifically to provide optimized palatal mechanotransduction during sleep — the precise period when </w:t>
      </w:r>
      <w:proofErr w:type="spellStart"/>
      <w:r>
        <w:t>Vmes</w:t>
      </w:r>
      <w:proofErr w:type="spellEnd"/>
      <w:r>
        <w:t xml:space="preserve"> circuit sufficiency is most critical for ARAS arousal sustentation and most vulnerable to the insufficiency that dysfunctional swallowing has created. Its occlusal contact design loads bilateral periodontal mechanoreceptors in the pattern most associated with positive SWITCH test responses; its palatal contour maximizes lingual-palatal contact area to engage palatal mechanoreceptors during each nocturnal swallow; and its lingual rest contours guide the tongue toward the palatal position without imposin</w:t>
      </w:r>
      <w:r>
        <w:t xml:space="preserve">g static constraint. For patients who have not yet achieved swallow conversion, the TORNADO provides the ARAS with the </w:t>
      </w:r>
      <w:proofErr w:type="spellStart"/>
      <w:r>
        <w:t>Vmes</w:t>
      </w:r>
      <w:proofErr w:type="spellEnd"/>
      <w:r>
        <w:t xml:space="preserve"> glutamatergic input it needs to sustain arousal tone across the CAP-B phase of NREM sleep. For patients progressing toward swallow conversion, the TORNADO's nightly </w:t>
      </w:r>
      <w:proofErr w:type="spellStart"/>
      <w:r>
        <w:t>Vmes</w:t>
      </w:r>
      <w:proofErr w:type="spellEnd"/>
      <w:r>
        <w:t xml:space="preserve"> circuit entrainment drives the LTP-dependent synaptogenesis that progressively strengthens the patient's capacity for unassisted functional swallowing.</w:t>
      </w:r>
    </w:p>
    <w:p w14:paraId="746DC74B" w14:textId="77777777" w:rsidR="00385021" w:rsidRDefault="0052766F">
      <w:pPr>
        <w:pStyle w:val="Heading2"/>
        <w:spacing w:before="280" w:after="140"/>
      </w:pPr>
      <w:r>
        <w:rPr>
          <w:b/>
          <w:bCs/>
        </w:rPr>
        <w:t>5.5 The NINJA Device — An Evolution of the ALF-NLA Toward NFDM-Optimized Palatal Stimulation</w:t>
      </w:r>
    </w:p>
    <w:p w14:paraId="32838CCC" w14:textId="77777777" w:rsidR="00385021" w:rsidRDefault="0052766F">
      <w:pPr>
        <w:spacing w:before="80" w:after="80" w:line="360" w:lineRule="auto"/>
        <w:jc w:val="both"/>
      </w:pPr>
      <w:r>
        <w:rPr>
          <w:i/>
          <w:iCs/>
        </w:rPr>
        <w:t>ALF-NLA foundational device developed by Dr. Darick Nordstrom. The NINJA device developed by Dr. Angie Tenholder as an evolution of clinical interpretation and implementation of Dr. Nordstrom's ALF-NLA device. www.ninja.health</w:t>
      </w:r>
    </w:p>
    <w:p w14:paraId="7BBD2E05" w14:textId="77777777" w:rsidR="00385021" w:rsidRDefault="00385021">
      <w:pPr>
        <w:spacing w:before="60" w:after="60"/>
      </w:pPr>
    </w:p>
    <w:p w14:paraId="239B73B3" w14:textId="77777777" w:rsidR="00385021" w:rsidRDefault="0052766F">
      <w:pPr>
        <w:spacing w:before="80" w:after="80" w:line="360" w:lineRule="auto"/>
        <w:jc w:val="both"/>
      </w:pPr>
      <w:r>
        <w:t xml:space="preserve">The NINJA device, developed by Dr. Tenholder as an evolution of Dr. Nordstrom's ALF-NLA device, represents the most refined expression of the NFDM palatal mechanotransduction principle within a compact, wearable appliance designed for both nighttime sleep support and daytime use. The NINJA Restore, as described at </w:t>
      </w:r>
      <w:proofErr w:type="spellStart"/>
      <w:proofErr w:type="gramStart"/>
      <w:r>
        <w:t>ninja.health</w:t>
      </w:r>
      <w:proofErr w:type="spellEnd"/>
      <w:proofErr w:type="gramEnd"/>
      <w:r>
        <w:t xml:space="preserve">, covers the front 8–10 upper teeth, </w:t>
      </w:r>
      <w:r>
        <w:lastRenderedPageBreak/>
        <w:t xml:space="preserve">prevents molar contact, and provides balance to the bite while giving freedom for the tongue — with the forces created by its design stimulating the brainstem neurology and breathing reflexes. This description encodes the NFDM mechanism precisely: by providing bilateral anterior palatal contact and freeing the tongue from posterior occlusal constraint, the NINJA device facilitates the lingual-palatal mechanotransduction that generates </w:t>
      </w:r>
      <w:proofErr w:type="spellStart"/>
      <w:r>
        <w:t>Vmes</w:t>
      </w:r>
      <w:proofErr w:type="spellEnd"/>
      <w:r>
        <w:t xml:space="preserve"> afferent input whil</w:t>
      </w:r>
      <w:r>
        <w:t>e simultaneously reducing the masticatory muscle hypertonicity that Schmidt's data associate with inadequate palatal contact conditions.</w:t>
      </w:r>
    </w:p>
    <w:p w14:paraId="1DB25380" w14:textId="77777777" w:rsidR="00385021" w:rsidRDefault="0052766F">
      <w:pPr>
        <w:spacing w:before="80" w:after="80" w:line="360" w:lineRule="auto"/>
        <w:jc w:val="both"/>
      </w:pPr>
      <w:r>
        <w:t xml:space="preserve">The NINJA device occupies a distinct clinical niche within the NFDM therapeutic continuum. Its design as both a nighttime restorative appliance and a daytime rescue device for habitual clenching and grinding addresses the bidirectional relationship between </w:t>
      </w:r>
      <w:proofErr w:type="spellStart"/>
      <w:r>
        <w:t>Vmes</w:t>
      </w:r>
      <w:proofErr w:type="spellEnd"/>
      <w:r>
        <w:t xml:space="preserve"> circuit insufficiency and bruxism that the TCR literature documents: the patient who grinds at night is both expressing and worsening the trigeminal afferent sensitization that drives the circuit insufficiency. By providing SWITCH test-confirmed palatal mechanotransduction throughout the day as needed, the NINJA device extends the </w:t>
      </w:r>
      <w:proofErr w:type="spellStart"/>
      <w:r>
        <w:t>Vmes</w:t>
      </w:r>
      <w:proofErr w:type="spellEnd"/>
      <w:r>
        <w:t xml:space="preserve"> circuit support beyond the nocturnal window of the TORNADO device into the waking hours where bruxism, stress compensation, and low-posture habituation are most actively</w:t>
      </w:r>
      <w:r>
        <w:t xml:space="preserve"> reinforced. The NINJA also functions as a transitional device — supporting patients moving between the ALF's biologically directed arch development phase and the TORNADO's optimized sleep-circuit support </w:t>
      </w:r>
      <w:proofErr w:type="gramStart"/>
      <w:r>
        <w:t>phase, or</w:t>
      </w:r>
      <w:proofErr w:type="gramEnd"/>
      <w:r>
        <w:t xml:space="preserve"> serving as the long-term maintenance device for patients who achieve partial but not complete swallow conversion. The SWITCH test determines which device, at which stage of treatment, provides the optimal palatal mechanotransduction for each individual patient.</w:t>
      </w:r>
    </w:p>
    <w:p w14:paraId="5D3A1530" w14:textId="77777777" w:rsidR="00385021" w:rsidRDefault="00385021">
      <w:pPr>
        <w:spacing w:before="60" w:after="60"/>
      </w:pPr>
    </w:p>
    <w:p w14:paraId="184BBB6A" w14:textId="77777777" w:rsidR="00385021" w:rsidRDefault="0052766F">
      <w:pPr>
        <w:pStyle w:val="Heading1"/>
        <w:spacing w:before="360" w:after="180"/>
      </w:pPr>
      <w:r>
        <w:rPr>
          <w:b/>
          <w:bCs/>
          <w:sz w:val="30"/>
          <w:szCs w:val="30"/>
        </w:rPr>
        <w:t>Section 6: The TCR as a Downstream Consequence</w:t>
      </w:r>
    </w:p>
    <w:p w14:paraId="2C619758" w14:textId="77777777" w:rsidR="00385021" w:rsidRDefault="00385021">
      <w:pPr>
        <w:spacing w:before="60" w:after="60"/>
      </w:pPr>
    </w:p>
    <w:p w14:paraId="36F7C989" w14:textId="77777777" w:rsidR="00385021" w:rsidRDefault="0052766F">
      <w:pPr>
        <w:spacing w:before="80" w:after="80" w:line="360" w:lineRule="auto"/>
        <w:jc w:val="both"/>
      </w:pPr>
      <w:r>
        <w:t xml:space="preserve">The </w:t>
      </w:r>
      <w:proofErr w:type="spellStart"/>
      <w:r>
        <w:t>trigeminocardiac</w:t>
      </w:r>
      <w:proofErr w:type="spellEnd"/>
      <w:r>
        <w:t xml:space="preserve"> reflex (TCR) — a brainstem reflex arc in which trigeminal stimulation triggers vagal bradycardia, hypotension, and apnea through short internuncial fibers connecting the trigeminal sensory nucleus to the dorsal motor nucleus of the </w:t>
      </w:r>
      <w:proofErr w:type="spellStart"/>
      <w:r>
        <w:t>vagus</w:t>
      </w:r>
      <w:proofErr w:type="spellEnd"/>
      <w:r>
        <w:t xml:space="preserve"> — is best understood within this framework as a downstream cardiovascular expression of a trigeminal afferent circuit that has been chronically sensitized by HA densification, masticatory hypertonicity, and the nociceptive afferent discharge from the restri</w:t>
      </w:r>
      <w:r>
        <w:t xml:space="preserve">cted sublingual tissue. Chowdhury and Schaller (2017) identified the TCR as a missing link in sleep disorders, proposing that the cycle of airway obstruction, hypoxia, trigeminal sensitization, and TCR-mediated vagal bradycardia contributes substantially to the cardiovascular pathology of OSA. Within the NFDM model, the TCR is not the primary </w:t>
      </w:r>
      <w:r>
        <w:lastRenderedPageBreak/>
        <w:t xml:space="preserve">therapeutic target — it is a reflex arc that returns to its appropriate background state when the </w:t>
      </w:r>
      <w:proofErr w:type="spellStart"/>
      <w:r>
        <w:t>Vmes</w:t>
      </w:r>
      <w:proofErr w:type="spellEnd"/>
      <w:r>
        <w:t xml:space="preserve"> circuit is rehabilitated, the HA densification is resolved, and </w:t>
      </w:r>
      <w:r>
        <w:t>the functional swallowing pattern is restored or adequately supported by device-mediated mechanotransduction.</w:t>
      </w:r>
    </w:p>
    <w:p w14:paraId="5AFB59F2" w14:textId="77777777" w:rsidR="00385021" w:rsidRDefault="00385021">
      <w:pPr>
        <w:spacing w:before="60" w:after="60"/>
      </w:pPr>
    </w:p>
    <w:p w14:paraId="77B67632" w14:textId="77777777" w:rsidR="00385021" w:rsidRDefault="0052766F">
      <w:pPr>
        <w:pStyle w:val="Heading1"/>
        <w:spacing w:before="360" w:after="180"/>
      </w:pPr>
      <w:r>
        <w:rPr>
          <w:b/>
          <w:bCs/>
          <w:sz w:val="30"/>
          <w:szCs w:val="30"/>
        </w:rPr>
        <w:t>Section 7: The Integrated NFDM Clinical Model — From Assessment to Swallow Conversion</w:t>
      </w:r>
    </w:p>
    <w:p w14:paraId="2DE161D6" w14:textId="77777777" w:rsidR="00385021" w:rsidRDefault="00385021">
      <w:pPr>
        <w:spacing w:before="60" w:after="60"/>
      </w:pPr>
    </w:p>
    <w:p w14:paraId="3A732A61" w14:textId="77777777" w:rsidR="00385021" w:rsidRDefault="0052766F">
      <w:pPr>
        <w:pStyle w:val="Heading2"/>
        <w:spacing w:before="280" w:after="140"/>
      </w:pPr>
      <w:r>
        <w:rPr>
          <w:b/>
          <w:bCs/>
        </w:rPr>
        <w:t>7.1 The Clinical Sequence</w:t>
      </w:r>
    </w:p>
    <w:p w14:paraId="6F2DAAB2" w14:textId="77777777" w:rsidR="00385021" w:rsidRDefault="0052766F">
      <w:pPr>
        <w:spacing w:before="80" w:after="80" w:line="360" w:lineRule="auto"/>
        <w:jc w:val="both"/>
      </w:pPr>
      <w:r>
        <w:t xml:space="preserve">The NFDM clinical model for the patient </w:t>
      </w:r>
      <w:proofErr w:type="gramStart"/>
      <w:r>
        <w:t>presenting with</w:t>
      </w:r>
      <w:proofErr w:type="gramEnd"/>
      <w:r>
        <w:t xml:space="preserve"> dysfunctional swallowing, low tongue posture, and sleep-disordered breathing proceeds through a defined sequence. Assessment begins with the SWITCH test: the ipsilateral leg resistance response establishes the current functional state of the </w:t>
      </w:r>
      <w:proofErr w:type="spellStart"/>
      <w:r>
        <w:t>Vmes</w:t>
      </w:r>
      <w:proofErr w:type="spellEnd"/>
      <w:r>
        <w:t xml:space="preserve"> circuit, and its improvement or non-improvement in response to trial intraoral modifications guides the selection of the appropriate therapeutic device. Floor-of-mouth digital palpation and FLIR thermographic imaging identify the degree of HA densif</w:t>
      </w:r>
      <w:r>
        <w:t>ication and structural fascial restriction. Tongue range of motion measurement and swallowing pattern quality assessment complete the baseline picture.</w:t>
      </w:r>
    </w:p>
    <w:p w14:paraId="45FA583D" w14:textId="77777777" w:rsidR="00385021" w:rsidRDefault="0052766F">
      <w:pPr>
        <w:spacing w:before="80" w:after="80" w:line="360" w:lineRule="auto"/>
        <w:jc w:val="both"/>
      </w:pPr>
      <w:r>
        <w:t xml:space="preserve">Treatment begins with the structural and neural preparation that creates the conditions for functional change: RestOralase to release the HA densification, reduce nociceptive </w:t>
      </w:r>
      <w:proofErr w:type="gramStart"/>
      <w:r>
        <w:t>sensitization, and</w:t>
      </w:r>
      <w:proofErr w:type="gramEnd"/>
      <w:r>
        <w:t xml:space="preserve"> restore tongue range of motion; and OraLase photobiomodulation as the shared neural tissue preparation foundation. With the structural barrier to palatal contact addressed, the therapeutic appliance — ALF, TORNADO, NINJA, or combination — is fitted and confirmed by SWITCH test to be providing adequate </w:t>
      </w:r>
      <w:proofErr w:type="spellStart"/>
      <w:r>
        <w:t>Vmes</w:t>
      </w:r>
      <w:proofErr w:type="spellEnd"/>
      <w:r>
        <w:t xml:space="preserve"> mechanotransduction. Myofunctional guidance toward swallow conversion accompanies appliance therapy at each visit, with the SWITCH test monitoring whether the patient is generating prog</w:t>
      </w:r>
      <w:r>
        <w:t xml:space="preserve">ressively stronger unassisted leg responses — indicating that their own swallowing pattern is taking over more of the </w:t>
      </w:r>
      <w:proofErr w:type="spellStart"/>
      <w:r>
        <w:t>Vmes</w:t>
      </w:r>
      <w:proofErr w:type="spellEnd"/>
      <w:r>
        <w:t xml:space="preserve"> circuit activation that the device is currently supplementing.</w:t>
      </w:r>
    </w:p>
    <w:p w14:paraId="3017F374" w14:textId="77777777" w:rsidR="00385021" w:rsidRDefault="0052766F">
      <w:pPr>
        <w:pStyle w:val="Heading2"/>
        <w:spacing w:before="280" w:after="140"/>
      </w:pPr>
      <w:r>
        <w:rPr>
          <w:b/>
          <w:bCs/>
        </w:rPr>
        <w:t>7.2 Monitoring Swallow Conversion Progress</w:t>
      </w:r>
    </w:p>
    <w:p w14:paraId="21E37412" w14:textId="77777777" w:rsidR="00385021" w:rsidRDefault="0052766F">
      <w:pPr>
        <w:spacing w:before="80" w:after="80" w:line="360" w:lineRule="auto"/>
        <w:jc w:val="both"/>
      </w:pPr>
      <w:r>
        <w:t xml:space="preserve">The SWITCH test is the primary instrument for monitoring swallow conversion progress. At each visit, the test is performed first without the device in place, then with the device in place. A strong leg response without the device confirms that the patient's unassisted swallowing pattern is generating adequate </w:t>
      </w:r>
      <w:proofErr w:type="spellStart"/>
      <w:r>
        <w:t>Vmes</w:t>
      </w:r>
      <w:proofErr w:type="spellEnd"/>
      <w:r>
        <w:t xml:space="preserve"> input — swallow conversion is occurring. A strong response only with </w:t>
      </w:r>
      <w:r>
        <w:lastRenderedPageBreak/>
        <w:t xml:space="preserve">the device confirms that device-mediated mechanotransduction is still required. </w:t>
      </w:r>
      <w:proofErr w:type="gramStart"/>
      <w:r>
        <w:t>Narrowing of</w:t>
      </w:r>
      <w:proofErr w:type="gramEnd"/>
      <w:r>
        <w:t xml:space="preserve"> the gap between the unassisted and device-assisted responses over successive visits indicates progressive conversion. Stable gap with no narrowing over multiple visits indicates that swallow conversion may not be achievable for this patient, and long-term device support is the appropriate clinical recommendation.</w:t>
      </w:r>
    </w:p>
    <w:p w14:paraId="2DE8A298" w14:textId="77777777" w:rsidR="00385021" w:rsidRDefault="0052766F">
      <w:pPr>
        <w:spacing w:before="80" w:after="80" w:line="360" w:lineRule="auto"/>
        <w:jc w:val="both"/>
      </w:pPr>
      <w:r>
        <w:t xml:space="preserve">This monitoring framework transforms the SWITCH test from a point-in-time assessment into a longitudinal tracking instrument for the most clinically meaningful outcome in NFDM: whether the patient is moving toward a nervous system that generates its own functional </w:t>
      </w:r>
      <w:proofErr w:type="spellStart"/>
      <w:r>
        <w:t>Vmes</w:t>
      </w:r>
      <w:proofErr w:type="spellEnd"/>
      <w:r>
        <w:t xml:space="preserve"> input, or one that will require ongoing device support to do so. Both outcomes are clinically acceptable. Both are honestly communicated to the patient. And both are managed with precision through the SWITCH test-guided therapeutic continuum that the NFDM device family provides.</w:t>
      </w:r>
    </w:p>
    <w:p w14:paraId="50B262B5" w14:textId="77777777" w:rsidR="00385021" w:rsidRDefault="00385021">
      <w:pPr>
        <w:spacing w:before="60" w:after="60"/>
      </w:pPr>
    </w:p>
    <w:p w14:paraId="66818A26" w14:textId="77777777" w:rsidR="00385021" w:rsidRDefault="0052766F">
      <w:pPr>
        <w:pStyle w:val="Heading1"/>
        <w:spacing w:before="360" w:after="180"/>
      </w:pPr>
      <w:r>
        <w:rPr>
          <w:b/>
          <w:bCs/>
          <w:sz w:val="30"/>
          <w:szCs w:val="30"/>
        </w:rPr>
        <w:t>Conclusion</w:t>
      </w:r>
    </w:p>
    <w:p w14:paraId="129DD030" w14:textId="77777777" w:rsidR="00385021" w:rsidRDefault="0052766F">
      <w:pPr>
        <w:spacing w:before="80" w:after="80" w:line="360" w:lineRule="auto"/>
        <w:jc w:val="both"/>
      </w:pPr>
      <w:r>
        <w:t xml:space="preserve">Dysfunctional swallowing, compensatory low tongue posture, and sublingual HA densification form a self-sustaining cycle whose downstream consequence is </w:t>
      </w:r>
      <w:proofErr w:type="spellStart"/>
      <w:r>
        <w:t>Vmes</w:t>
      </w:r>
      <w:proofErr w:type="spellEnd"/>
      <w:r>
        <w:t xml:space="preserve"> circuit insufficiency — the brainstem mechanism that Andrisani identifies as the root cause of sleep apnea. The Schmidt (2009) evidence establishes that palatal contact is the neurologically demanding, </w:t>
      </w:r>
      <w:proofErr w:type="spellStart"/>
      <w:r>
        <w:t>Vmes</w:t>
      </w:r>
      <w:proofErr w:type="spellEnd"/>
      <w:r>
        <w:t xml:space="preserve">-activating state, while the floor-of-mouth position represents a low-input resting state that is inadequate for sustaining ARAS arousal tone. The </w:t>
      </w:r>
      <w:proofErr w:type="spellStart"/>
      <w:r>
        <w:t>Stecco</w:t>
      </w:r>
      <w:proofErr w:type="spellEnd"/>
      <w:r>
        <w:t xml:space="preserve"> and Pratt evidence establishes that habitual low tongue posture drives progressive HA densification of the sublingual fascial complex, creating the</w:t>
      </w:r>
      <w:r>
        <w:t xml:space="preserve"> structural restriction that makes palatal contact increasingly difficult and deepening the cycle. The NFDM framework developed by Dr. Angie Tenholder — encompassing the SWITCH test, BabyLase, OraLase, RestOralase, the ALF appliance, the TORNADO device, and the NINJA device — provides a theoretically grounded and clinically systematic approach to interrupting this cycle at every level: structurally through RestOralase HA phase transition and PPRT; neurologically through photobiomodulation-mediated desensiti</w:t>
      </w:r>
      <w:r>
        <w:t xml:space="preserve">zation; developmentally through BabyLase early intervention; and functionally through SWITCH test-guided appliance therapy that supports </w:t>
      </w:r>
      <w:proofErr w:type="spellStart"/>
      <w:r>
        <w:t>Vmes</w:t>
      </w:r>
      <w:proofErr w:type="spellEnd"/>
      <w:r>
        <w:t xml:space="preserve"> mechanotransduction during the process of swallow conversion. The goal is </w:t>
      </w:r>
      <w:proofErr w:type="gramStart"/>
      <w:r>
        <w:t>a patient</w:t>
      </w:r>
      <w:proofErr w:type="gramEnd"/>
      <w:r>
        <w:t xml:space="preserve"> whose functional swallowing pattern generates its own adequate </w:t>
      </w:r>
      <w:proofErr w:type="spellStart"/>
      <w:r>
        <w:t>Vmes</w:t>
      </w:r>
      <w:proofErr w:type="spellEnd"/>
      <w:r>
        <w:t xml:space="preserve"> circuit input — but the NFDM therapeutic continuum provides clinically meaningful, SWITCH test-confirmed support for every patient on the path to that goal, including those for whom long-term device-mediated mechanotra</w:t>
      </w:r>
      <w:r>
        <w:t>nsduction is the most appropriate and sustainable clinical outcome.</w:t>
      </w:r>
    </w:p>
    <w:p w14:paraId="4B4888FE" w14:textId="77777777" w:rsidR="00385021" w:rsidRDefault="00385021">
      <w:pPr>
        <w:spacing w:before="60" w:after="60"/>
      </w:pPr>
    </w:p>
    <w:p w14:paraId="38BC6405" w14:textId="77777777" w:rsidR="00385021" w:rsidRDefault="0052766F">
      <w:pPr>
        <w:pStyle w:val="Heading1"/>
        <w:spacing w:before="360" w:after="180"/>
      </w:pPr>
      <w:r>
        <w:rPr>
          <w:b/>
          <w:bCs/>
          <w:sz w:val="30"/>
          <w:szCs w:val="30"/>
        </w:rPr>
        <w:t>References</w:t>
      </w:r>
    </w:p>
    <w:p w14:paraId="2E55F54D" w14:textId="77777777" w:rsidR="00385021" w:rsidRDefault="0052766F">
      <w:pPr>
        <w:spacing w:before="60" w:after="60" w:line="300" w:lineRule="auto"/>
        <w:ind w:left="720" w:hanging="720"/>
      </w:pPr>
      <w:proofErr w:type="spellStart"/>
      <w:r>
        <w:rPr>
          <w:sz w:val="20"/>
          <w:szCs w:val="20"/>
        </w:rPr>
        <w:t>Alayat</w:t>
      </w:r>
      <w:proofErr w:type="spellEnd"/>
      <w:r>
        <w:rPr>
          <w:sz w:val="20"/>
          <w:szCs w:val="20"/>
        </w:rPr>
        <w:t xml:space="preserve"> MS, </w:t>
      </w:r>
      <w:proofErr w:type="spellStart"/>
      <w:r>
        <w:rPr>
          <w:sz w:val="20"/>
          <w:szCs w:val="20"/>
        </w:rPr>
        <w:t>Battecha</w:t>
      </w:r>
      <w:proofErr w:type="spellEnd"/>
      <w:r>
        <w:rPr>
          <w:sz w:val="20"/>
          <w:szCs w:val="20"/>
        </w:rPr>
        <w:t xml:space="preserve"> KH, </w:t>
      </w:r>
      <w:proofErr w:type="spellStart"/>
      <w:r>
        <w:rPr>
          <w:sz w:val="20"/>
          <w:szCs w:val="20"/>
        </w:rPr>
        <w:t>ELsodany</w:t>
      </w:r>
      <w:proofErr w:type="spellEnd"/>
      <w:r>
        <w:rPr>
          <w:sz w:val="20"/>
          <w:szCs w:val="20"/>
        </w:rPr>
        <w:t xml:space="preserve"> AM, Ali MI. Pulsed </w:t>
      </w:r>
      <w:proofErr w:type="spellStart"/>
      <w:proofErr w:type="gramStart"/>
      <w:r>
        <w:rPr>
          <w:sz w:val="20"/>
          <w:szCs w:val="20"/>
        </w:rPr>
        <w:t>Nd:YAG</w:t>
      </w:r>
      <w:proofErr w:type="spellEnd"/>
      <w:proofErr w:type="gramEnd"/>
      <w:r>
        <w:rPr>
          <w:sz w:val="20"/>
          <w:szCs w:val="20"/>
        </w:rPr>
        <w:t xml:space="preserve"> laser combined with progressive pressure release in the treatment of cervical myofascial pain syndrome: a randomized control trial. Journal of Physical Therapy Science. 2020;32(7):422–427. doi:10.1589/jpts.32.422</w:t>
      </w:r>
    </w:p>
    <w:p w14:paraId="32B04A83" w14:textId="77777777" w:rsidR="00385021" w:rsidRDefault="0052766F">
      <w:pPr>
        <w:spacing w:before="60" w:after="60" w:line="300" w:lineRule="auto"/>
        <w:ind w:left="720" w:hanging="720"/>
      </w:pPr>
      <w:r>
        <w:rPr>
          <w:sz w:val="20"/>
          <w:szCs w:val="20"/>
        </w:rPr>
        <w:t xml:space="preserve">Andrisani G, Andrisani G. The mesencephalic nucleus of the trigeminal nerve and the SIDS. Medical Hypotheses. 2015;84(1):8–10. </w:t>
      </w:r>
      <w:proofErr w:type="gramStart"/>
      <w:r>
        <w:rPr>
          <w:sz w:val="20"/>
          <w:szCs w:val="20"/>
        </w:rPr>
        <w:t>doi:10.1016/j.mehy</w:t>
      </w:r>
      <w:proofErr w:type="gramEnd"/>
      <w:r>
        <w:rPr>
          <w:sz w:val="20"/>
          <w:szCs w:val="20"/>
        </w:rPr>
        <w:t>.2014.11.005</w:t>
      </w:r>
    </w:p>
    <w:p w14:paraId="30275EA1" w14:textId="77777777" w:rsidR="00385021" w:rsidRDefault="0052766F">
      <w:pPr>
        <w:spacing w:before="60" w:after="60" w:line="300" w:lineRule="auto"/>
        <w:ind w:left="720" w:hanging="720"/>
      </w:pPr>
      <w:r>
        <w:rPr>
          <w:sz w:val="20"/>
          <w:szCs w:val="20"/>
        </w:rPr>
        <w:t>Andrisani G, Andrisani G. Sleep apnea pathophysiology. Sleep and Breathing. 2023;27(6):2111–2122. doi:10.1007/s11325-023-02783-7</w:t>
      </w:r>
    </w:p>
    <w:p w14:paraId="71661490" w14:textId="77777777" w:rsidR="00385021" w:rsidRDefault="0052766F">
      <w:pPr>
        <w:spacing w:before="60" w:after="60" w:line="300" w:lineRule="auto"/>
        <w:ind w:left="720" w:hanging="720"/>
      </w:pPr>
      <w:r>
        <w:rPr>
          <w:sz w:val="20"/>
          <w:szCs w:val="20"/>
        </w:rPr>
        <w:t xml:space="preserve">Carlson CR, Sherman JJ, </w:t>
      </w:r>
      <w:proofErr w:type="spellStart"/>
      <w:r>
        <w:rPr>
          <w:sz w:val="20"/>
          <w:szCs w:val="20"/>
        </w:rPr>
        <w:t>Studts</w:t>
      </w:r>
      <w:proofErr w:type="spellEnd"/>
      <w:r>
        <w:rPr>
          <w:sz w:val="20"/>
          <w:szCs w:val="20"/>
        </w:rPr>
        <w:t xml:space="preserve"> JL, Bertrand PM. The effects of tongue position on mandibular muscle activity. Journal of Orofacial Pain. 1997;11(4):291–297.</w:t>
      </w:r>
    </w:p>
    <w:p w14:paraId="742FBC7D" w14:textId="77777777" w:rsidR="00385021" w:rsidRDefault="0052766F">
      <w:pPr>
        <w:spacing w:before="60" w:after="60" w:line="300" w:lineRule="auto"/>
        <w:ind w:left="720" w:hanging="720"/>
      </w:pPr>
      <w:r>
        <w:rPr>
          <w:sz w:val="20"/>
          <w:szCs w:val="20"/>
        </w:rPr>
        <w:t xml:space="preserve">Chowdhury T, Schaller B. Sleep disorders: is the </w:t>
      </w:r>
      <w:proofErr w:type="spellStart"/>
      <w:r>
        <w:rPr>
          <w:sz w:val="20"/>
          <w:szCs w:val="20"/>
        </w:rPr>
        <w:t>trigemino</w:t>
      </w:r>
      <w:proofErr w:type="spellEnd"/>
      <w:r>
        <w:rPr>
          <w:sz w:val="20"/>
          <w:szCs w:val="20"/>
        </w:rPr>
        <w:t xml:space="preserve">-cardiac reflex a missing link? Frontiers in Neurology. </w:t>
      </w:r>
      <w:proofErr w:type="gramStart"/>
      <w:r>
        <w:rPr>
          <w:sz w:val="20"/>
          <w:szCs w:val="20"/>
        </w:rPr>
        <w:t>2017;8:63</w:t>
      </w:r>
      <w:proofErr w:type="gramEnd"/>
      <w:r>
        <w:rPr>
          <w:sz w:val="20"/>
          <w:szCs w:val="20"/>
        </w:rPr>
        <w:t>. doi:10.3389/fneur.2017.00063</w:t>
      </w:r>
    </w:p>
    <w:p w14:paraId="665F0211" w14:textId="77777777" w:rsidR="00385021" w:rsidRDefault="0052766F">
      <w:pPr>
        <w:spacing w:before="60" w:after="60" w:line="300" w:lineRule="auto"/>
        <w:ind w:left="720" w:hanging="720"/>
      </w:pPr>
      <w:r>
        <w:rPr>
          <w:sz w:val="20"/>
          <w:szCs w:val="20"/>
        </w:rPr>
        <w:t xml:space="preserve">Lukač M, Seme K, Samardzija M. Characteristics of non-ablative resurfacing of soft tissues by repetitive </w:t>
      </w:r>
      <w:proofErr w:type="spellStart"/>
      <w:proofErr w:type="gramStart"/>
      <w:r>
        <w:rPr>
          <w:sz w:val="20"/>
          <w:szCs w:val="20"/>
        </w:rPr>
        <w:t>Er:YAG</w:t>
      </w:r>
      <w:proofErr w:type="spellEnd"/>
      <w:proofErr w:type="gramEnd"/>
      <w:r>
        <w:rPr>
          <w:sz w:val="20"/>
          <w:szCs w:val="20"/>
        </w:rPr>
        <w:t xml:space="preserve"> laser pulse irradiation. Lasers in Surgery and Medicine. 2021;53(9):1170–1183. doi:10.1002/lsm.23402</w:t>
      </w:r>
    </w:p>
    <w:p w14:paraId="65DF2D5A" w14:textId="77777777" w:rsidR="00385021" w:rsidRDefault="0052766F">
      <w:pPr>
        <w:spacing w:before="60" w:after="60" w:line="300" w:lineRule="auto"/>
        <w:ind w:left="720" w:hanging="720"/>
      </w:pPr>
      <w:r>
        <w:rPr>
          <w:sz w:val="20"/>
          <w:szCs w:val="20"/>
        </w:rPr>
        <w:t>Nordstrom D. Advanced Lightwire Functional (ALF) Appliance, ALF-NLA Device, and OraLase Protocol: Principles and Practice. Published in the public domain. Hollister, CA.</w:t>
      </w:r>
    </w:p>
    <w:p w14:paraId="3DDBB41B" w14:textId="77777777" w:rsidR="00385021" w:rsidRDefault="0052766F">
      <w:pPr>
        <w:spacing w:before="60" w:after="60" w:line="300" w:lineRule="auto"/>
        <w:ind w:left="720" w:hanging="720"/>
      </w:pPr>
      <w:r>
        <w:rPr>
          <w:sz w:val="20"/>
          <w:szCs w:val="20"/>
        </w:rPr>
        <w:t>Pratt RL. Hyaluronan and the Fascial Frontier. International Journal of Molecular Sciences. 2021;22(13):6845. doi:10.3390/ijms22136845</w:t>
      </w:r>
    </w:p>
    <w:p w14:paraId="3099448E" w14:textId="77777777" w:rsidR="00385021" w:rsidRDefault="0052766F">
      <w:pPr>
        <w:spacing w:before="60" w:after="60" w:line="300" w:lineRule="auto"/>
        <w:ind w:left="720" w:hanging="720"/>
      </w:pPr>
      <w:r>
        <w:rPr>
          <w:sz w:val="20"/>
          <w:szCs w:val="20"/>
        </w:rPr>
        <w:t xml:space="preserve">Schmidt JE, Carlson CR, Usery AR, Quevedo AS. Effects of tongue position on mandibular muscle activity and heart rate function. Oral Surgery, Oral Medicine, Oral Pathology, Oral Radiology, and Endodontology. 2009;108(6):881–888. </w:t>
      </w:r>
      <w:proofErr w:type="gramStart"/>
      <w:r>
        <w:rPr>
          <w:sz w:val="20"/>
          <w:szCs w:val="20"/>
        </w:rPr>
        <w:t>doi:10.1016/j.tripleo</w:t>
      </w:r>
      <w:proofErr w:type="gramEnd"/>
      <w:r>
        <w:rPr>
          <w:sz w:val="20"/>
          <w:szCs w:val="20"/>
        </w:rPr>
        <w:t>.2009.06.029</w:t>
      </w:r>
    </w:p>
    <w:p w14:paraId="02E7BFC6" w14:textId="77777777" w:rsidR="00385021" w:rsidRDefault="0052766F">
      <w:pPr>
        <w:spacing w:before="60" w:after="60" w:line="300" w:lineRule="auto"/>
        <w:ind w:left="720" w:hanging="720"/>
      </w:pPr>
      <w:proofErr w:type="spellStart"/>
      <w:r>
        <w:rPr>
          <w:sz w:val="20"/>
          <w:szCs w:val="20"/>
        </w:rPr>
        <w:t>Stecco</w:t>
      </w:r>
      <w:proofErr w:type="spellEnd"/>
      <w:r>
        <w:rPr>
          <w:sz w:val="20"/>
          <w:szCs w:val="20"/>
        </w:rPr>
        <w:t xml:space="preserve"> A, </w:t>
      </w:r>
      <w:proofErr w:type="spellStart"/>
      <w:r>
        <w:rPr>
          <w:sz w:val="20"/>
          <w:szCs w:val="20"/>
        </w:rPr>
        <w:t>Gesi</w:t>
      </w:r>
      <w:proofErr w:type="spellEnd"/>
      <w:r>
        <w:rPr>
          <w:sz w:val="20"/>
          <w:szCs w:val="20"/>
        </w:rPr>
        <w:t xml:space="preserve"> M, </w:t>
      </w:r>
      <w:proofErr w:type="spellStart"/>
      <w:r>
        <w:rPr>
          <w:sz w:val="20"/>
          <w:szCs w:val="20"/>
        </w:rPr>
        <w:t>Stecco</w:t>
      </w:r>
      <w:proofErr w:type="spellEnd"/>
      <w:r>
        <w:rPr>
          <w:sz w:val="20"/>
          <w:szCs w:val="20"/>
        </w:rPr>
        <w:t xml:space="preserve"> C, Stern R. Fascial components of the myofascial pain syndrome. Current Pain and Headache Reports. 2013;17(8):352. doi:10.1007/s11916-013-0352-9</w:t>
      </w:r>
    </w:p>
    <w:p w14:paraId="0FB4CDA6" w14:textId="77777777" w:rsidR="00385021" w:rsidRDefault="0052766F">
      <w:pPr>
        <w:spacing w:before="60" w:after="60" w:line="300" w:lineRule="auto"/>
        <w:ind w:left="720" w:hanging="720"/>
      </w:pPr>
      <w:proofErr w:type="spellStart"/>
      <w:r>
        <w:rPr>
          <w:sz w:val="20"/>
          <w:szCs w:val="20"/>
        </w:rPr>
        <w:t>Stecco</w:t>
      </w:r>
      <w:proofErr w:type="spellEnd"/>
      <w:r>
        <w:rPr>
          <w:sz w:val="20"/>
          <w:szCs w:val="20"/>
        </w:rPr>
        <w:t xml:space="preserve"> C, Stern R, </w:t>
      </w:r>
      <w:proofErr w:type="spellStart"/>
      <w:r>
        <w:rPr>
          <w:sz w:val="20"/>
          <w:szCs w:val="20"/>
        </w:rPr>
        <w:t>Porzionato</w:t>
      </w:r>
      <w:proofErr w:type="spellEnd"/>
      <w:r>
        <w:rPr>
          <w:sz w:val="20"/>
          <w:szCs w:val="20"/>
        </w:rPr>
        <w:t xml:space="preserve"> A, et al. Hyaluronan within fascia in the etiology of myofascial pain. Surgical and Radiologic Anatomy. 2011;33(10):891–896. doi:10.1007/s00276-011-0876-9</w:t>
      </w:r>
    </w:p>
    <w:p w14:paraId="26420E0F" w14:textId="77777777" w:rsidR="00385021" w:rsidRDefault="0052766F">
      <w:pPr>
        <w:spacing w:before="60" w:after="60" w:line="300" w:lineRule="auto"/>
        <w:ind w:left="720" w:hanging="720"/>
      </w:pPr>
      <w:proofErr w:type="spellStart"/>
      <w:r>
        <w:rPr>
          <w:sz w:val="20"/>
          <w:szCs w:val="20"/>
        </w:rPr>
        <w:t>Stecco</w:t>
      </w:r>
      <w:proofErr w:type="spellEnd"/>
      <w:r>
        <w:rPr>
          <w:sz w:val="20"/>
          <w:szCs w:val="20"/>
        </w:rPr>
        <w:t xml:space="preserve"> C, Fede C, Macchi V, et al. The </w:t>
      </w:r>
      <w:proofErr w:type="spellStart"/>
      <w:r>
        <w:rPr>
          <w:sz w:val="20"/>
          <w:szCs w:val="20"/>
        </w:rPr>
        <w:t>fasciacytes</w:t>
      </w:r>
      <w:proofErr w:type="spellEnd"/>
      <w:r>
        <w:rPr>
          <w:sz w:val="20"/>
          <w:szCs w:val="20"/>
        </w:rPr>
        <w:t>: a new cell devoted to fascial gliding regulation. Clinical Anatomy. 2018;31(5):667–676. doi:10.1002/ca.23102</w:t>
      </w:r>
    </w:p>
    <w:p w14:paraId="4F221B22" w14:textId="77777777" w:rsidR="00385021" w:rsidRDefault="0052766F">
      <w:pPr>
        <w:spacing w:before="60" w:after="60" w:line="300" w:lineRule="auto"/>
        <w:ind w:left="720" w:hanging="720"/>
      </w:pPr>
      <w:r>
        <w:rPr>
          <w:sz w:val="20"/>
          <w:szCs w:val="20"/>
        </w:rPr>
        <w:t>Tenholder A. Neurofunctional Dental Medicine: The SWITCH Test, TORNADO Platform, NINJA Device, BabyLase, OraLase, and RestOralase Protocols. Unpublished clinical framework. American Board of Craniofacial Dental Sleep Medicine. www.ninja.health</w:t>
      </w:r>
    </w:p>
    <w:p w14:paraId="6A77BE57" w14:textId="77777777" w:rsidR="00385021" w:rsidRDefault="0052766F">
      <w:pPr>
        <w:spacing w:before="60" w:after="60" w:line="300" w:lineRule="auto"/>
        <w:ind w:left="720" w:hanging="720"/>
      </w:pPr>
      <w:r>
        <w:rPr>
          <w:sz w:val="20"/>
          <w:szCs w:val="20"/>
        </w:rPr>
        <w:t xml:space="preserve">Valdes C, </w:t>
      </w:r>
      <w:proofErr w:type="spellStart"/>
      <w:r>
        <w:rPr>
          <w:sz w:val="20"/>
          <w:szCs w:val="20"/>
        </w:rPr>
        <w:t>Astaburuaga</w:t>
      </w:r>
      <w:proofErr w:type="spellEnd"/>
      <w:r>
        <w:rPr>
          <w:sz w:val="20"/>
          <w:szCs w:val="20"/>
        </w:rPr>
        <w:t xml:space="preserve"> F, </w:t>
      </w:r>
      <w:proofErr w:type="spellStart"/>
      <w:r>
        <w:rPr>
          <w:sz w:val="20"/>
          <w:szCs w:val="20"/>
        </w:rPr>
        <w:t>Falace</w:t>
      </w:r>
      <w:proofErr w:type="spellEnd"/>
      <w:r>
        <w:rPr>
          <w:sz w:val="20"/>
          <w:szCs w:val="20"/>
        </w:rPr>
        <w:t xml:space="preserve"> D, Ramirez V, Manns A. The effect of tongue position and resulting vertical dimension on masticatory muscle activity: a cross-sectional study. Journal of Oral Rehabilitation. 2013. doi:10.1111/joor.12080</w:t>
      </w:r>
    </w:p>
    <w:p w14:paraId="0ECE0B64" w14:textId="77777777" w:rsidR="00385021" w:rsidRDefault="0052766F">
      <w:pPr>
        <w:spacing w:before="60" w:after="60" w:line="300" w:lineRule="auto"/>
        <w:ind w:left="720" w:hanging="720"/>
      </w:pPr>
      <w:r>
        <w:rPr>
          <w:sz w:val="20"/>
          <w:szCs w:val="20"/>
        </w:rPr>
        <w:t xml:space="preserve">Vescovi P, </w:t>
      </w:r>
      <w:proofErr w:type="spellStart"/>
      <w:r>
        <w:rPr>
          <w:sz w:val="20"/>
          <w:szCs w:val="20"/>
        </w:rPr>
        <w:t>Merigo</w:t>
      </w:r>
      <w:proofErr w:type="spellEnd"/>
      <w:r>
        <w:rPr>
          <w:sz w:val="20"/>
          <w:szCs w:val="20"/>
        </w:rPr>
        <w:t xml:space="preserve"> E, </w:t>
      </w:r>
      <w:proofErr w:type="spellStart"/>
      <w:r>
        <w:rPr>
          <w:sz w:val="20"/>
          <w:szCs w:val="20"/>
        </w:rPr>
        <w:t>Fornaini</w:t>
      </w:r>
      <w:proofErr w:type="spellEnd"/>
      <w:r>
        <w:rPr>
          <w:sz w:val="20"/>
          <w:szCs w:val="20"/>
        </w:rPr>
        <w:t xml:space="preserve"> C, Rocca JP, Nammour S. Thermal increase in the oral mucosa and in the jawbone during </w:t>
      </w:r>
      <w:proofErr w:type="spellStart"/>
      <w:proofErr w:type="gramStart"/>
      <w:r>
        <w:rPr>
          <w:sz w:val="20"/>
          <w:szCs w:val="20"/>
        </w:rPr>
        <w:t>Nd:YAG</w:t>
      </w:r>
      <w:proofErr w:type="spellEnd"/>
      <w:proofErr w:type="gramEnd"/>
      <w:r>
        <w:rPr>
          <w:sz w:val="20"/>
          <w:szCs w:val="20"/>
        </w:rPr>
        <w:t xml:space="preserve"> laser applications: ex vivo study. Medicina Oral, </w:t>
      </w:r>
      <w:proofErr w:type="spellStart"/>
      <w:r>
        <w:rPr>
          <w:sz w:val="20"/>
          <w:szCs w:val="20"/>
        </w:rPr>
        <w:t>Patología</w:t>
      </w:r>
      <w:proofErr w:type="spellEnd"/>
      <w:r>
        <w:rPr>
          <w:sz w:val="20"/>
          <w:szCs w:val="20"/>
        </w:rPr>
        <w:t xml:space="preserve"> Oral y </w:t>
      </w:r>
      <w:proofErr w:type="spellStart"/>
      <w:r>
        <w:rPr>
          <w:sz w:val="20"/>
          <w:szCs w:val="20"/>
        </w:rPr>
        <w:t>Cirugía</w:t>
      </w:r>
      <w:proofErr w:type="spellEnd"/>
      <w:r>
        <w:rPr>
          <w:sz w:val="20"/>
          <w:szCs w:val="20"/>
        </w:rPr>
        <w:t xml:space="preserve"> Bucal. 2012;17(6</w:t>
      </w:r>
      <w:proofErr w:type="gramStart"/>
      <w:r>
        <w:rPr>
          <w:sz w:val="20"/>
          <w:szCs w:val="20"/>
        </w:rPr>
        <w:t>):e</w:t>
      </w:r>
      <w:proofErr w:type="gramEnd"/>
      <w:r>
        <w:rPr>
          <w:sz w:val="20"/>
          <w:szCs w:val="20"/>
        </w:rPr>
        <w:t>1129–e1135. doi:10.4317/medoral.17726</w:t>
      </w:r>
    </w:p>
    <w:sectPr w:rsidR="0038502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B0057"/>
    <w:multiLevelType w:val="hybridMultilevel"/>
    <w:tmpl w:val="6232A3C4"/>
    <w:lvl w:ilvl="0" w:tplc="075481B2">
      <w:start w:val="1"/>
      <w:numFmt w:val="bullet"/>
      <w:lvlText w:val="●"/>
      <w:lvlJc w:val="left"/>
      <w:pPr>
        <w:ind w:left="720" w:hanging="360"/>
      </w:pPr>
    </w:lvl>
    <w:lvl w:ilvl="1" w:tplc="048EF9B4">
      <w:start w:val="1"/>
      <w:numFmt w:val="bullet"/>
      <w:lvlText w:val="○"/>
      <w:lvlJc w:val="left"/>
      <w:pPr>
        <w:ind w:left="1440" w:hanging="360"/>
      </w:pPr>
    </w:lvl>
    <w:lvl w:ilvl="2" w:tplc="37B0B20E">
      <w:start w:val="1"/>
      <w:numFmt w:val="bullet"/>
      <w:lvlText w:val="■"/>
      <w:lvlJc w:val="left"/>
      <w:pPr>
        <w:ind w:left="2160" w:hanging="360"/>
      </w:pPr>
    </w:lvl>
    <w:lvl w:ilvl="3" w:tplc="4E268298">
      <w:start w:val="1"/>
      <w:numFmt w:val="bullet"/>
      <w:lvlText w:val="●"/>
      <w:lvlJc w:val="left"/>
      <w:pPr>
        <w:ind w:left="2880" w:hanging="360"/>
      </w:pPr>
    </w:lvl>
    <w:lvl w:ilvl="4" w:tplc="705C194E">
      <w:start w:val="1"/>
      <w:numFmt w:val="bullet"/>
      <w:lvlText w:val="○"/>
      <w:lvlJc w:val="left"/>
      <w:pPr>
        <w:ind w:left="3600" w:hanging="360"/>
      </w:pPr>
    </w:lvl>
    <w:lvl w:ilvl="5" w:tplc="178CC5CA">
      <w:start w:val="1"/>
      <w:numFmt w:val="bullet"/>
      <w:lvlText w:val="■"/>
      <w:lvlJc w:val="left"/>
      <w:pPr>
        <w:ind w:left="4320" w:hanging="360"/>
      </w:pPr>
    </w:lvl>
    <w:lvl w:ilvl="6" w:tplc="83D60DB0">
      <w:start w:val="1"/>
      <w:numFmt w:val="bullet"/>
      <w:lvlText w:val="●"/>
      <w:lvlJc w:val="left"/>
      <w:pPr>
        <w:ind w:left="5040" w:hanging="360"/>
      </w:pPr>
    </w:lvl>
    <w:lvl w:ilvl="7" w:tplc="812E2AFA">
      <w:start w:val="1"/>
      <w:numFmt w:val="bullet"/>
      <w:lvlText w:val="●"/>
      <w:lvlJc w:val="left"/>
      <w:pPr>
        <w:ind w:left="5760" w:hanging="360"/>
      </w:pPr>
    </w:lvl>
    <w:lvl w:ilvl="8" w:tplc="33E2C2F4">
      <w:start w:val="1"/>
      <w:numFmt w:val="bullet"/>
      <w:lvlText w:val="●"/>
      <w:lvlJc w:val="left"/>
      <w:pPr>
        <w:ind w:left="6480" w:hanging="360"/>
      </w:pPr>
    </w:lvl>
  </w:abstractNum>
  <w:num w:numId="1" w16cid:durableId="7441055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021"/>
    <w:rsid w:val="00385021"/>
    <w:rsid w:val="0052766F"/>
    <w:rsid w:val="00542E37"/>
    <w:rsid w:val="00830D30"/>
    <w:rsid w:val="008B6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9DCEC"/>
  <w15:docId w15:val="{80D095CB-211A-4669-8CCA-E2917414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4800</Words>
  <Characters>31157</Characters>
  <Application>Microsoft Office Word</Application>
  <DocSecurity>0</DocSecurity>
  <Lines>451</Lines>
  <Paragraphs>96</Paragraphs>
  <ScaleCrop>false</ScaleCrop>
  <Company/>
  <LinksUpToDate>false</LinksUpToDate>
  <CharactersWithSpaces>35861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Angie</cp:lastModifiedBy>
  <cp:revision>2</cp:revision>
  <dcterms:created xsi:type="dcterms:W3CDTF">2026-06-25T22:08:00Z</dcterms:created>
  <dcterms:modified xsi:type="dcterms:W3CDTF">2026-06-25T22:08:00Z</dcterms:modified>
</cp:coreProperties>
</file>