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0"/>
        <w:ind w:left="2543" w:right="2175"/>
        <w:jc w:val="center"/>
      </w:pPr>
      <w:r>
        <w:rPr>
          <w:u w:val="single"/>
        </w:rPr>
        <w:t>2017 Home Winemakers Classic Judging Results</w:t>
      </w:r>
    </w:p>
    <w:p>
      <w:pPr>
        <w:spacing w:line="271" w:lineRule="exact" w:before="0"/>
        <w:ind w:left="2608" w:right="2175" w:firstLine="0"/>
        <w:jc w:val="center"/>
        <w:rPr>
          <w:rFonts w:ascii="Calibri-BoldItalic"/>
          <w:b/>
          <w:i/>
          <w:sz w:val="22"/>
        </w:rPr>
      </w:pPr>
      <w:r>
        <w:rPr>
          <w:rFonts w:ascii="Calibri-BoldItalic"/>
          <w:b/>
          <w:i/>
          <w:sz w:val="22"/>
        </w:rPr>
        <w:t>Our 34</w:t>
      </w:r>
      <w:r>
        <w:rPr>
          <w:rFonts w:ascii="Calibri-BoldItalic"/>
          <w:b/>
          <w:i/>
          <w:position w:val="9"/>
          <w:sz w:val="13"/>
        </w:rPr>
        <w:t>th </w:t>
      </w:r>
      <w:r>
        <w:rPr>
          <w:rFonts w:ascii="Calibri-BoldItalic"/>
          <w:b/>
          <w:i/>
          <w:sz w:val="22"/>
        </w:rPr>
        <w:t>Year</w:t>
      </w:r>
    </w:p>
    <w:p>
      <w:pPr>
        <w:pStyle w:val="BodyText"/>
        <w:spacing w:line="240" w:lineRule="auto" w:before="3"/>
        <w:ind w:left="0"/>
        <w:jc w:val="left"/>
        <w:rPr>
          <w:rFonts w:ascii="Calibri-BoldItalic"/>
          <w:b/>
          <w:i/>
        </w:rPr>
      </w:pPr>
    </w:p>
    <w:p>
      <w:pPr>
        <w:pStyle w:val="BodyText"/>
        <w:spacing w:line="240" w:lineRule="auto"/>
        <w:ind w:left="2613" w:right="2175"/>
        <w:jc w:val="center"/>
      </w:pPr>
      <w:r>
        <w:rPr/>
        <w:t>29 wines were submitted and 22 received awards (76%)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Assorted Whites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2016</w:t>
      </w:r>
      <w:r>
        <w:rPr>
          <w:spacing w:val="-5"/>
        </w:rPr>
        <w:t> </w:t>
      </w:r>
      <w:r>
        <w:rPr/>
        <w:t>Sauvignon</w:t>
      </w:r>
      <w:r>
        <w:rPr>
          <w:spacing w:val="-5"/>
        </w:rPr>
        <w:t> </w:t>
      </w:r>
      <w:r>
        <w:rPr/>
        <w:t>Blanc</w:t>
        <w:tab/>
        <w:t>Glass</w:t>
      </w:r>
      <w:r>
        <w:rPr>
          <w:spacing w:val="-5"/>
        </w:rPr>
        <w:t> </w:t>
      </w:r>
      <w:r>
        <w:rPr/>
        <w:t>Mountain</w:t>
      </w:r>
      <w:r>
        <w:rPr>
          <w:spacing w:val="-5"/>
        </w:rPr>
        <w:t> </w:t>
      </w:r>
      <w:r>
        <w:rPr/>
        <w:t>Cellars</w:t>
        <w:tab/>
        <w:t>Soren</w:t>
      </w:r>
      <w:r>
        <w:rPr>
          <w:spacing w:val="-4"/>
        </w:rPr>
        <w:t> </w:t>
      </w:r>
      <w:r>
        <w:rPr/>
        <w:t>Bloch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2015</w:t>
      </w:r>
      <w:r>
        <w:rPr>
          <w:spacing w:val="-5"/>
        </w:rPr>
        <w:t> </w:t>
      </w:r>
      <w:r>
        <w:rPr/>
        <w:t>Chardonnay</w:t>
        <w:tab/>
        <w:t>Tangled</w:t>
      </w:r>
      <w:r>
        <w:rPr>
          <w:spacing w:val="-4"/>
        </w:rPr>
        <w:t> </w:t>
      </w:r>
      <w:r>
        <w:rPr/>
        <w:t>Vines</w:t>
        <w:tab/>
        <w:t>John</w:t>
      </w:r>
      <w:r>
        <w:rPr>
          <w:spacing w:val="-4"/>
        </w:rPr>
        <w:t> </w:t>
      </w:r>
      <w:r>
        <w:rPr/>
        <w:t>Lansingh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spacing w:line="267" w:lineRule="exact" w:before="1"/>
        <w:ind w:left="5860"/>
        <w:jc w:val="left"/>
      </w:pPr>
      <w:r>
        <w:rPr/>
        <w:t>&amp; John Runnels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2016</w:t>
      </w:r>
      <w:r>
        <w:rPr>
          <w:spacing w:val="-4"/>
        </w:rPr>
        <w:t> </w:t>
      </w:r>
      <w:r>
        <w:rPr/>
        <w:t>Sauvignon</w:t>
      </w:r>
      <w:r>
        <w:rPr>
          <w:spacing w:val="16"/>
        </w:rPr>
        <w:t> </w:t>
      </w:r>
      <w:r>
        <w:rPr/>
        <w:t>Blanc</w:t>
        <w:tab/>
        <w:t>J &amp; D</w:t>
      </w:r>
      <w:r>
        <w:rPr>
          <w:spacing w:val="-8"/>
        </w:rPr>
        <w:t> </w:t>
      </w:r>
      <w:r>
        <w:rPr/>
        <w:t>Vintage</w:t>
      </w:r>
      <w:r>
        <w:rPr>
          <w:spacing w:val="-3"/>
        </w:rPr>
        <w:t> </w:t>
      </w:r>
      <w:r>
        <w:rPr/>
        <w:t>Wines</w:t>
        <w:tab/>
        <w:t>Jack</w:t>
      </w:r>
      <w:r>
        <w:rPr>
          <w:spacing w:val="-3"/>
        </w:rPr>
        <w:t> </w:t>
      </w:r>
      <w:r>
        <w:rPr/>
        <w:t>Gray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Pinot Noir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2014</w:t>
      </w:r>
      <w:r>
        <w:rPr>
          <w:spacing w:val="-4"/>
        </w:rPr>
        <w:t> </w:t>
      </w:r>
      <w:r>
        <w:rPr/>
        <w:t>Pinot</w:t>
      </w:r>
      <w:r>
        <w:rPr>
          <w:spacing w:val="-4"/>
        </w:rPr>
        <w:t> </w:t>
      </w:r>
      <w:r>
        <w:rPr/>
        <w:t>Noir</w:t>
        <w:tab/>
        <w:t>Dylan’s</w:t>
      </w:r>
      <w:r>
        <w:rPr>
          <w:spacing w:val="-4"/>
        </w:rPr>
        <w:t> </w:t>
      </w:r>
      <w:r>
        <w:rPr/>
        <w:t>Reach</w:t>
        <w:tab/>
        <w:t>Paul</w:t>
      </w:r>
      <w:r>
        <w:rPr>
          <w:spacing w:val="-3"/>
        </w:rPr>
        <w:t> </w:t>
      </w:r>
      <w:r>
        <w:rPr/>
        <w:t>Pyle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Red Blend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2014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Blend</w:t>
        <w:tab/>
        <w:t>Leap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Faith</w:t>
        <w:tab/>
        <w:t>John</w:t>
      </w:r>
      <w:r>
        <w:rPr>
          <w:spacing w:val="-4"/>
        </w:rPr>
        <w:t> </w:t>
      </w:r>
      <w:r>
        <w:rPr/>
        <w:t>Kasten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2014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Blend</w:t>
        <w:tab/>
        <w:t>Oak</w:t>
      </w:r>
      <w:r>
        <w:rPr>
          <w:spacing w:val="-4"/>
        </w:rPr>
        <w:t> </w:t>
      </w:r>
      <w:r>
        <w:rPr/>
        <w:t>Knoll</w:t>
      </w:r>
      <w:r>
        <w:rPr>
          <w:spacing w:val="-4"/>
        </w:rPr>
        <w:t> </w:t>
      </w:r>
      <w:r>
        <w:rPr/>
        <w:t>Vintners</w:t>
        <w:tab/>
        <w:t>Steve</w:t>
      </w:r>
      <w:r>
        <w:rPr>
          <w:spacing w:val="-4"/>
        </w:rPr>
        <w:t> </w:t>
      </w:r>
      <w:r>
        <w:rPr/>
        <w:t>Cerami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2014</w:t>
      </w:r>
      <w:r>
        <w:rPr>
          <w:spacing w:val="-4"/>
        </w:rPr>
        <w:t> </w:t>
      </w:r>
      <w:r>
        <w:rPr/>
        <w:t>Red</w:t>
      </w:r>
      <w:r>
        <w:rPr>
          <w:spacing w:val="-4"/>
        </w:rPr>
        <w:t> </w:t>
      </w:r>
      <w:r>
        <w:rPr/>
        <w:t>Blendl</w:t>
        <w:tab/>
        <w:t>Bunnell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Vineyards</w:t>
        <w:tab/>
        <w:t>Daniel</w:t>
      </w:r>
      <w:r>
        <w:rPr>
          <w:spacing w:val="-4"/>
        </w:rPr>
        <w:t> </w:t>
      </w:r>
      <w:r>
        <w:rPr/>
        <w:t>Bunnell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Merlot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37" w:lineRule="auto" w:before="1"/>
        <w:ind w:right="107"/>
        <w:rPr>
          <w:sz w:val="13"/>
        </w:rPr>
      </w:pPr>
      <w:r>
        <w:rPr/>
        <w:t>2014</w:t>
      </w:r>
      <w:r>
        <w:rPr>
          <w:spacing w:val="-4"/>
        </w:rPr>
        <w:t> </w:t>
      </w:r>
      <w:r>
        <w:rPr/>
        <w:t>Merlot</w:t>
        <w:tab/>
        <w:t>The</w:t>
      </w:r>
      <w:r>
        <w:rPr>
          <w:spacing w:val="-5"/>
        </w:rPr>
        <w:t> </w:t>
      </w:r>
      <w:r>
        <w:rPr/>
        <w:t>Prescription</w:t>
        <w:tab/>
        <w:t>Joseph</w:t>
      </w:r>
      <w:r>
        <w:rPr>
          <w:spacing w:val="-4"/>
        </w:rPr>
        <w:t> </w:t>
      </w:r>
      <w:r>
        <w:rPr/>
        <w:t>Tuscano</w:t>
        <w:tab/>
        <w:t>1</w:t>
      </w:r>
      <w:r>
        <w:rPr>
          <w:position w:val="9"/>
          <w:sz w:val="13"/>
        </w:rPr>
        <w:t>st </w:t>
      </w:r>
      <w:r>
        <w:rPr/>
        <w:t>2014</w:t>
      </w:r>
      <w:r>
        <w:rPr>
          <w:spacing w:val="-4"/>
        </w:rPr>
        <w:t> </w:t>
      </w:r>
      <w:r>
        <w:rPr/>
        <w:t>Merlot</w:t>
        <w:tab/>
        <w:t>Daesee</w:t>
      </w:r>
      <w:r>
        <w:rPr>
          <w:spacing w:val="-5"/>
        </w:rPr>
        <w:t> </w:t>
      </w:r>
      <w:r>
        <w:rPr/>
        <w:t>Vineyards</w:t>
        <w:tab/>
        <w:t>Scott &amp;</w:t>
      </w:r>
      <w:r>
        <w:rPr>
          <w:spacing w:val="-7"/>
        </w:rPr>
        <w:t> </w:t>
      </w:r>
      <w:r>
        <w:rPr/>
        <w:t>Michael</w:t>
      </w:r>
      <w:r>
        <w:rPr>
          <w:spacing w:val="-4"/>
        </w:rPr>
        <w:t> </w:t>
      </w:r>
      <w:r>
        <w:rPr/>
        <w:t>Emery</w:t>
        <w:tab/>
        <w:t>2</w:t>
      </w:r>
      <w:r>
        <w:rPr>
          <w:position w:val="9"/>
          <w:sz w:val="13"/>
        </w:rPr>
        <w:t>nd </w:t>
      </w:r>
      <w:r>
        <w:rPr/>
        <w:t>2013</w:t>
      </w:r>
      <w:r>
        <w:rPr>
          <w:spacing w:val="-4"/>
        </w:rPr>
        <w:t> </w:t>
      </w:r>
      <w:r>
        <w:rPr/>
        <w:t>Merlot</w:t>
        <w:tab/>
        <w:t>Soda Canyon</w:t>
      </w:r>
      <w:r>
        <w:rPr>
          <w:spacing w:val="-8"/>
        </w:rPr>
        <w:t> </w:t>
      </w:r>
      <w:r>
        <w:rPr/>
        <w:t>Wine</w:t>
      </w:r>
      <w:r>
        <w:rPr>
          <w:spacing w:val="-4"/>
        </w:rPr>
        <w:t> </w:t>
      </w:r>
      <w:r>
        <w:rPr/>
        <w:t>Works</w:t>
        <w:tab/>
        <w:t>Whitney</w:t>
      </w:r>
      <w:r>
        <w:rPr>
          <w:spacing w:val="-4"/>
        </w:rPr>
        <w:t> </w:t>
      </w:r>
      <w:r>
        <w:rPr/>
        <w:t>Dern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Mixed Reds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2015</w:t>
      </w:r>
      <w:r>
        <w:rPr>
          <w:spacing w:val="-4"/>
        </w:rPr>
        <w:t> </w:t>
      </w:r>
      <w:r>
        <w:rPr/>
        <w:t>Zinfandel</w:t>
        <w:tab/>
        <w:t>McQuib</w:t>
      </w:r>
      <w:r>
        <w:rPr>
          <w:spacing w:val="-4"/>
        </w:rPr>
        <w:t> </w:t>
      </w:r>
      <w:r>
        <w:rPr/>
        <w:t>Wines</w:t>
        <w:tab/>
        <w:t>Don</w:t>
      </w:r>
      <w:r>
        <w:rPr>
          <w:spacing w:val="-4"/>
        </w:rPr>
        <w:t> </w:t>
      </w:r>
      <w:r>
        <w:rPr/>
        <w:t>McClain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2015</w:t>
      </w:r>
      <w:r>
        <w:rPr>
          <w:spacing w:val="-4"/>
        </w:rPr>
        <w:t> </w:t>
      </w:r>
      <w:r>
        <w:rPr/>
        <w:t>Petit</w:t>
      </w:r>
      <w:r>
        <w:rPr>
          <w:spacing w:val="-4"/>
        </w:rPr>
        <w:t> </w:t>
      </w:r>
      <w:r>
        <w:rPr/>
        <w:t>Sirah</w:t>
        <w:tab/>
        <w:t>Red</w:t>
      </w:r>
      <w:r>
        <w:rPr>
          <w:spacing w:val="-3"/>
        </w:rPr>
        <w:t> </w:t>
      </w:r>
      <w:r>
        <w:rPr/>
        <w:t>Shed</w:t>
      </w:r>
      <w:r>
        <w:rPr>
          <w:spacing w:val="-3"/>
        </w:rPr>
        <w:t> </w:t>
      </w:r>
      <w:r>
        <w:rPr/>
        <w:t>Wine</w:t>
        <w:tab/>
        <w:t>Richard</w:t>
      </w:r>
      <w:r>
        <w:rPr>
          <w:spacing w:val="-4"/>
        </w:rPr>
        <w:t> </w:t>
      </w:r>
      <w:r>
        <w:rPr/>
        <w:t>Allen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2015</w:t>
      </w:r>
      <w:r>
        <w:rPr>
          <w:spacing w:val="-4"/>
        </w:rPr>
        <w:t> </w:t>
      </w:r>
      <w:r>
        <w:rPr/>
        <w:t>Zinfandel</w:t>
        <w:tab/>
        <w:t>Fickle</w:t>
      </w:r>
      <w:r>
        <w:rPr>
          <w:spacing w:val="-5"/>
        </w:rPr>
        <w:t> </w:t>
      </w:r>
      <w:r>
        <w:rPr/>
        <w:t>Fermenters</w:t>
        <w:tab/>
        <w:t>Mike</w:t>
      </w:r>
      <w:r>
        <w:rPr>
          <w:spacing w:val="-4"/>
        </w:rPr>
        <w:t> </w:t>
      </w:r>
      <w:r>
        <w:rPr/>
        <w:t>Riddle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2015</w:t>
      </w:r>
      <w:r>
        <w:rPr>
          <w:spacing w:val="-4"/>
        </w:rPr>
        <w:t> </w:t>
      </w:r>
      <w:r>
        <w:rPr/>
        <w:t>Petit</w:t>
      </w:r>
      <w:r>
        <w:rPr>
          <w:spacing w:val="-4"/>
        </w:rPr>
        <w:t> </w:t>
      </w:r>
      <w:r>
        <w:rPr/>
        <w:t>Verdot</w:t>
        <w:tab/>
        <w:t>Zina</w:t>
      </w:r>
      <w:r>
        <w:rPr>
          <w:spacing w:val="-3"/>
        </w:rPr>
        <w:t> </w:t>
      </w:r>
      <w:r>
        <w:rPr/>
        <w:t>Hills</w:t>
        <w:tab/>
        <w:t>Nick</w:t>
      </w:r>
      <w:r>
        <w:rPr>
          <w:spacing w:val="-4"/>
        </w:rPr>
        <w:t> </w:t>
      </w:r>
      <w:r>
        <w:rPr/>
        <w:t>Thomsic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</w:pPr>
      <w:r>
        <w:rPr/>
        <w:t>Cabernet Sauvignon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2014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Double</w:t>
      </w:r>
      <w:r>
        <w:rPr>
          <w:spacing w:val="-3"/>
        </w:rPr>
        <w:t> </w:t>
      </w:r>
      <w:r>
        <w:rPr/>
        <w:t>O</w:t>
        <w:tab/>
        <w:t>George</w:t>
      </w:r>
      <w:r>
        <w:rPr>
          <w:spacing w:val="-4"/>
        </w:rPr>
        <w:t> </w:t>
      </w:r>
      <w:r>
        <w:rPr/>
        <w:t>O’Meara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2014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J.</w:t>
      </w:r>
      <w:r>
        <w:rPr>
          <w:spacing w:val="-4"/>
        </w:rPr>
        <w:t> </w:t>
      </w:r>
      <w:r>
        <w:rPr/>
        <w:t>Indelicato</w:t>
        <w:tab/>
        <w:t>Jason</w:t>
      </w:r>
      <w:r>
        <w:rPr>
          <w:spacing w:val="-5"/>
        </w:rPr>
        <w:t> </w:t>
      </w:r>
      <w:r>
        <w:rPr/>
        <w:t>Indelicato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2012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Piotr</w:t>
      </w:r>
      <w:r>
        <w:rPr>
          <w:spacing w:val="-4"/>
        </w:rPr>
        <w:t> </w:t>
      </w:r>
      <w:r>
        <w:rPr/>
        <w:t>Cellars</w:t>
        <w:tab/>
        <w:t>Pete</w:t>
      </w:r>
      <w:r>
        <w:rPr>
          <w:spacing w:val="-4"/>
        </w:rPr>
        <w:t> </w:t>
      </w:r>
      <w:r>
        <w:rPr/>
        <w:t>Oprawski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2012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Sixmo</w:t>
      </w:r>
      <w:r>
        <w:rPr>
          <w:spacing w:val="-5"/>
        </w:rPr>
        <w:t> </w:t>
      </w:r>
      <w:r>
        <w:rPr/>
        <w:t>Winemakers</w:t>
        <w:tab/>
        <w:t>George</w:t>
      </w:r>
      <w:r>
        <w:rPr>
          <w:spacing w:val="-5"/>
        </w:rPr>
        <w:t> </w:t>
      </w:r>
      <w:r>
        <w:rPr/>
        <w:t>Bongiornio</w:t>
        <w:tab/>
        <w:t>1</w:t>
      </w:r>
      <w:r>
        <w:rPr>
          <w:position w:val="9"/>
          <w:sz w:val="13"/>
        </w:rPr>
        <w:t>st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2013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Dern</w:t>
      </w:r>
      <w:r>
        <w:rPr>
          <w:spacing w:val="-5"/>
        </w:rPr>
        <w:t> </w:t>
      </w:r>
      <w:r>
        <w:rPr/>
        <w:t>Estate</w:t>
      </w:r>
      <w:r>
        <w:rPr>
          <w:spacing w:val="-5"/>
        </w:rPr>
        <w:t> </w:t>
      </w:r>
      <w:r>
        <w:rPr/>
        <w:t>Vineyard</w:t>
        <w:tab/>
        <w:t>Kris</w:t>
      </w:r>
      <w:r>
        <w:rPr>
          <w:spacing w:val="-3"/>
        </w:rPr>
        <w:t> </w:t>
      </w:r>
      <w:r>
        <w:rPr/>
        <w:t>Dern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rPr>
          <w:sz w:val="13"/>
        </w:rPr>
      </w:pPr>
      <w:r>
        <w:rPr/>
        <w:t>2014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Mockingbird</w:t>
      </w:r>
      <w:r>
        <w:rPr>
          <w:spacing w:val="-6"/>
        </w:rPr>
        <w:t> </w:t>
      </w:r>
      <w:r>
        <w:rPr/>
        <w:t>Cellars</w:t>
        <w:tab/>
        <w:t>Dick</w:t>
      </w:r>
      <w:r>
        <w:rPr>
          <w:spacing w:val="-4"/>
        </w:rPr>
        <w:t> </w:t>
      </w:r>
      <w:r>
        <w:rPr/>
        <w:t>Ingraham</w:t>
        <w:tab/>
        <w:t>2</w:t>
      </w:r>
      <w:r>
        <w:rPr>
          <w:position w:val="9"/>
          <w:sz w:val="13"/>
        </w:rPr>
        <w:t>nd</w:t>
      </w:r>
    </w:p>
    <w:p>
      <w:pPr>
        <w:pStyle w:val="BodyText"/>
        <w:tabs>
          <w:tab w:pos="2979" w:val="left" w:leader="none"/>
          <w:tab w:pos="5859" w:val="left" w:leader="none"/>
          <w:tab w:pos="9459" w:val="left" w:leader="none"/>
        </w:tabs>
        <w:spacing w:line="271" w:lineRule="exact"/>
        <w:rPr>
          <w:sz w:val="13"/>
        </w:rPr>
      </w:pPr>
      <w:r>
        <w:rPr/>
        <w:t>2014</w:t>
      </w:r>
      <w:r>
        <w:rPr>
          <w:spacing w:val="-5"/>
        </w:rPr>
        <w:t> </w:t>
      </w:r>
      <w:r>
        <w:rPr/>
        <w:t>Cabernet</w:t>
      </w:r>
      <w:r>
        <w:rPr>
          <w:spacing w:val="-5"/>
        </w:rPr>
        <w:t> </w:t>
      </w:r>
      <w:r>
        <w:rPr/>
        <w:t>Sauvignon</w:t>
        <w:tab/>
        <w:t>I</w:t>
      </w:r>
      <w:r>
        <w:rPr>
          <w:spacing w:val="-3"/>
        </w:rPr>
        <w:t> </w:t>
      </w:r>
      <w:r>
        <w:rPr/>
        <w:t>Cellars</w:t>
        <w:tab/>
        <w:t>Pete</w:t>
      </w:r>
      <w:r>
        <w:rPr>
          <w:spacing w:val="-5"/>
        </w:rPr>
        <w:t> </w:t>
      </w:r>
      <w:r>
        <w:rPr/>
        <w:t>Indelicato</w:t>
        <w:tab/>
        <w:t>3</w:t>
      </w:r>
      <w:r>
        <w:rPr>
          <w:position w:val="9"/>
          <w:sz w:val="13"/>
        </w:rPr>
        <w:t>rd</w:t>
      </w:r>
    </w:p>
    <w:p>
      <w:pPr>
        <w:pStyle w:val="BodyText"/>
        <w:spacing w:line="240" w:lineRule="auto" w:before="3"/>
        <w:ind w:left="0"/>
        <w:jc w:val="left"/>
      </w:pPr>
    </w:p>
    <w:p>
      <w:pPr>
        <w:pStyle w:val="Heading1"/>
        <w:spacing w:line="240" w:lineRule="auto"/>
      </w:pPr>
      <w:r>
        <w:rPr/>
        <w:t>Best of Show</w:t>
      </w:r>
    </w:p>
    <w:p>
      <w:pPr>
        <w:pStyle w:val="BodyText"/>
        <w:tabs>
          <w:tab w:pos="2979" w:val="left" w:leader="none"/>
          <w:tab w:pos="5859" w:val="left" w:leader="none"/>
        </w:tabs>
        <w:spacing w:line="240" w:lineRule="auto" w:before="1"/>
      </w:pPr>
      <w:r>
        <w:rPr/>
        <w:t>2014</w:t>
      </w:r>
      <w:r>
        <w:rPr>
          <w:spacing w:val="-4"/>
        </w:rPr>
        <w:t> </w:t>
      </w:r>
      <w:r>
        <w:rPr/>
        <w:t>Malbec</w:t>
        <w:tab/>
        <w:t>Friendly</w:t>
      </w:r>
      <w:r>
        <w:rPr>
          <w:spacing w:val="-4"/>
        </w:rPr>
        <w:t> </w:t>
      </w:r>
      <w:r>
        <w:rPr/>
        <w:t>Lion</w:t>
        <w:tab/>
        <w:t>Dan</w:t>
      </w:r>
      <w:r>
        <w:rPr>
          <w:spacing w:val="-2"/>
        </w:rPr>
        <w:t> </w:t>
      </w:r>
      <w:r>
        <w:rPr/>
        <w:t>McCarthy</w:t>
      </w:r>
    </w:p>
    <w:sectPr>
      <w:type w:val="continuous"/>
      <w:pgSz w:w="12240" w:h="15840"/>
      <w:pgMar w:top="1400" w:bottom="280" w:left="9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-BoldItalic">
    <w:altName w:val="Calibri-BoldItal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line="270" w:lineRule="exact"/>
      <w:ind w:left="100"/>
      <w:jc w:val="both"/>
    </w:pPr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67" w:lineRule="exact"/>
      <w:ind w:left="100"/>
      <w:jc w:val="both"/>
      <w:outlineLvl w:val="1"/>
    </w:pPr>
    <w:rPr>
      <w:rFonts w:ascii="Calibri" w:hAnsi="Calibri" w:eastAsia="Calibri" w:cs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2017-12-30T01:36:00Z</dcterms:created>
  <dcterms:modified xsi:type="dcterms:W3CDTF">2017-12-30T01:36:00Z</dcterms:modified>
</cp:coreProperties>
</file>