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A737" w14:textId="77777777" w:rsidR="00817F37" w:rsidRPr="00817F37" w:rsidRDefault="00817F37" w:rsidP="00817F37">
      <w:pPr>
        <w:pStyle w:val="NoSpacing"/>
        <w:jc w:val="center"/>
        <w:rPr>
          <w:rFonts w:ascii="Baskerville Old Face" w:hAnsi="Baskerville Old Face"/>
          <w:b/>
          <w:bCs/>
          <w:sz w:val="48"/>
          <w:szCs w:val="48"/>
        </w:rPr>
      </w:pPr>
    </w:p>
    <w:p w14:paraId="07CF00C1" w14:textId="7AF8D560" w:rsidR="00817F37" w:rsidRPr="00817F37" w:rsidRDefault="00817F37" w:rsidP="00817F37">
      <w:pPr>
        <w:pStyle w:val="NoSpacing"/>
        <w:jc w:val="center"/>
        <w:rPr>
          <w:rFonts w:ascii="Baskerville Old Face" w:hAnsi="Baskerville Old Face"/>
          <w:b/>
          <w:bCs/>
          <w:sz w:val="48"/>
          <w:szCs w:val="48"/>
        </w:rPr>
      </w:pPr>
      <w:r w:rsidRPr="00817F37">
        <w:rPr>
          <w:rFonts w:ascii="Baskerville Old Face" w:hAnsi="Baskerville Old Face"/>
          <w:b/>
          <w:bCs/>
          <w:sz w:val="48"/>
          <w:szCs w:val="48"/>
        </w:rPr>
        <w:t>May Updates and Calendar Review</w:t>
      </w:r>
    </w:p>
    <w:p w14:paraId="112941B4" w14:textId="70978F75" w:rsidR="00817F37" w:rsidRPr="00817F37" w:rsidRDefault="00817F37" w:rsidP="00817F37">
      <w:pPr>
        <w:pStyle w:val="NoSpacing"/>
        <w:jc w:val="center"/>
        <w:rPr>
          <w:rFonts w:ascii="Baskerville Old Face" w:hAnsi="Baskerville Old Face"/>
          <w:b/>
          <w:bCs/>
          <w:sz w:val="48"/>
          <w:szCs w:val="48"/>
        </w:rPr>
      </w:pPr>
      <w:r w:rsidRPr="00817F37">
        <w:rPr>
          <w:rFonts w:ascii="Baskerville Old Face" w:hAnsi="Baskerville Old Face"/>
          <w:b/>
          <w:bCs/>
          <w:sz w:val="48"/>
          <w:szCs w:val="48"/>
        </w:rPr>
        <w:t>Received</w:t>
      </w:r>
    </w:p>
    <w:p w14:paraId="13D78376" w14:textId="6843578C" w:rsidR="00817F37" w:rsidRDefault="00817F37" w:rsidP="00817F37">
      <w:pPr>
        <w:pStyle w:val="NoSpacing"/>
        <w:jc w:val="center"/>
        <w:rPr>
          <w:rFonts w:ascii="Baskerville Old Face" w:hAnsi="Baskerville Old Face"/>
          <w:b/>
          <w:bCs/>
          <w:sz w:val="48"/>
          <w:szCs w:val="48"/>
        </w:rPr>
      </w:pPr>
      <w:r w:rsidRPr="00817F37">
        <w:rPr>
          <w:rFonts w:ascii="Baskerville Old Face" w:hAnsi="Baskerville Old Face"/>
          <w:b/>
          <w:bCs/>
          <w:sz w:val="48"/>
          <w:szCs w:val="48"/>
        </w:rPr>
        <w:t>May 30 &amp; 31,2026</w:t>
      </w:r>
    </w:p>
    <w:p w14:paraId="31F07501" w14:textId="77777777" w:rsidR="00817F37" w:rsidRPr="00E70F19" w:rsidRDefault="00817F37" w:rsidP="00817F37">
      <w:pPr>
        <w:pStyle w:val="NoSpacing"/>
        <w:jc w:val="center"/>
        <w:rPr>
          <w:rFonts w:ascii="Baskerville Old Face" w:hAnsi="Baskerville Old Face"/>
          <w:sz w:val="48"/>
          <w:szCs w:val="48"/>
        </w:rPr>
      </w:pPr>
    </w:p>
    <w:p w14:paraId="625F6C0E" w14:textId="0DE829F5" w:rsidR="00817F37" w:rsidRDefault="00E70F19" w:rsidP="00817F37">
      <w:pPr>
        <w:pStyle w:val="NoSpacing"/>
        <w:rPr>
          <w:rFonts w:ascii="Baskerville Old Face" w:hAnsi="Baskerville Old Face"/>
          <w:sz w:val="28"/>
          <w:szCs w:val="28"/>
        </w:rPr>
      </w:pPr>
      <w:r>
        <w:rPr>
          <w:rFonts w:ascii="Baskerville Old Face" w:hAnsi="Baskerville Old Face"/>
          <w:sz w:val="28"/>
          <w:szCs w:val="28"/>
        </w:rPr>
        <w:t>The Second Heaven has provided us with monthly review dates. Over the years, these review dates have come for us to study. No, not every month, but when they come, they are feature review dates for us to know the status of processes. Some processes have concluded, some have progressed along the way, still evolving, yet have reached a milestone.</w:t>
      </w:r>
    </w:p>
    <w:p w14:paraId="2A35B939" w14:textId="58DE5D10" w:rsidR="00E70F19" w:rsidRDefault="00E70F19" w:rsidP="00817F37">
      <w:pPr>
        <w:pStyle w:val="NoSpacing"/>
        <w:rPr>
          <w:rFonts w:ascii="Baskerville Old Face" w:hAnsi="Baskerville Old Face"/>
          <w:sz w:val="28"/>
          <w:szCs w:val="28"/>
        </w:rPr>
      </w:pPr>
      <w:r>
        <w:rPr>
          <w:rFonts w:ascii="Baskerville Old Face" w:hAnsi="Baskerville Old Face"/>
          <w:sz w:val="28"/>
          <w:szCs w:val="28"/>
        </w:rPr>
        <w:t xml:space="preserve">   For example</w:t>
      </w:r>
      <w:r w:rsidR="000443BE">
        <w:rPr>
          <w:rFonts w:ascii="Baskerville Old Face" w:hAnsi="Baskerville Old Face"/>
          <w:sz w:val="28"/>
          <w:szCs w:val="28"/>
        </w:rPr>
        <w:t>:</w:t>
      </w:r>
      <w:r>
        <w:rPr>
          <w:rFonts w:ascii="Baskerville Old Face" w:hAnsi="Baskerville Old Face"/>
          <w:sz w:val="28"/>
          <w:szCs w:val="28"/>
        </w:rPr>
        <w:t xml:space="preserve"> </w:t>
      </w:r>
    </w:p>
    <w:p w14:paraId="5D037F63" w14:textId="334F5E76" w:rsidR="00E70F19" w:rsidRDefault="000443BE" w:rsidP="000443BE">
      <w:pPr>
        <w:pStyle w:val="NoSpacing"/>
        <w:numPr>
          <w:ilvl w:val="0"/>
          <w:numId w:val="1"/>
        </w:numPr>
        <w:rPr>
          <w:rFonts w:ascii="Baskerville Old Face" w:hAnsi="Baskerville Old Face"/>
          <w:sz w:val="28"/>
          <w:szCs w:val="28"/>
        </w:rPr>
      </w:pPr>
      <w:r>
        <w:rPr>
          <w:rFonts w:ascii="Baskerville Old Face" w:hAnsi="Baskerville Old Face"/>
          <w:sz w:val="28"/>
          <w:szCs w:val="28"/>
        </w:rPr>
        <w:t>We are in the Abrahamic Fourth Generation. This process is about preparation, mandatory: spiritually and mentally, with focus. It is a time to realign with the New Covenants. We all have a clean slate; there is no need to look back at past sins. However, if past sins are resurrected, expect the consequences. It is good to know that individuals will receive the hand of justice rather than the Congregation.</w:t>
      </w:r>
    </w:p>
    <w:p w14:paraId="23E0C94B" w14:textId="7B53B406" w:rsidR="000443BE" w:rsidRPr="00AE210C" w:rsidRDefault="00AE210C" w:rsidP="00AE210C">
      <w:pPr>
        <w:pStyle w:val="NoSpacing"/>
        <w:numPr>
          <w:ilvl w:val="0"/>
          <w:numId w:val="1"/>
        </w:numPr>
        <w:rPr>
          <w:rFonts w:ascii="Baskerville Old Face" w:hAnsi="Baskerville Old Face"/>
          <w:sz w:val="28"/>
          <w:szCs w:val="28"/>
        </w:rPr>
      </w:pPr>
      <w:r w:rsidRPr="00AE210C">
        <w:rPr>
          <w:rFonts w:ascii="Baskerville Old Face" w:hAnsi="Baskerville Old Face" w:cs="Segoe UI Symbol"/>
          <w:sz w:val="28"/>
          <w:szCs w:val="28"/>
        </w:rPr>
        <w:t xml:space="preserve">Preparation includes separation from all who are not exiled Israelites. Separation does not mean isolation. It is very simple: if people have no interest in sanctifying themselves, what value do they have in your presence? Of paramount importance, everyone must know which of the twelve tribes they are from and their family roots. Everyone must know their family heritage. When it comes time to make atonement for the sins of our tribal families, you must know the specific sins they committed before the </w:t>
      </w:r>
      <w:proofErr w:type="gramStart"/>
      <w:r w:rsidRPr="00AE210C">
        <w:rPr>
          <w:rFonts w:ascii="Baskerville Old Face" w:hAnsi="Baskerville Old Face" w:cs="Segoe UI Symbol"/>
          <w:sz w:val="28"/>
          <w:szCs w:val="28"/>
        </w:rPr>
        <w:t>Most High</w:t>
      </w:r>
      <w:proofErr w:type="gramEnd"/>
      <w:r w:rsidRPr="00AE210C">
        <w:rPr>
          <w:rFonts w:ascii="Baskerville Old Face" w:hAnsi="Baskerville Old Face" w:cs="Segoe UI Symbol"/>
          <w:sz w:val="28"/>
          <w:szCs w:val="28"/>
        </w:rPr>
        <w:t xml:space="preserve"> God. Also, the Fourth Generational inheritance will be distributed according to the tribes, that is, the twelve patriarchs.  </w:t>
      </w:r>
    </w:p>
    <w:p w14:paraId="65184925" w14:textId="75787DE2" w:rsidR="005F5F16" w:rsidRDefault="005F5F16" w:rsidP="00AE210C">
      <w:pPr>
        <w:pStyle w:val="NoSpacing"/>
        <w:numPr>
          <w:ilvl w:val="0"/>
          <w:numId w:val="1"/>
        </w:numPr>
        <w:rPr>
          <w:rFonts w:ascii="Baskerville Old Face" w:hAnsi="Baskerville Old Face" w:cs="Segoe UI Symbol"/>
          <w:sz w:val="28"/>
          <w:szCs w:val="28"/>
        </w:rPr>
      </w:pPr>
      <w:r w:rsidRPr="005F5F16">
        <w:rPr>
          <w:rFonts w:ascii="Baskerville Old Face" w:hAnsi="Baskerville Old Face" w:cs="Segoe UI Symbol"/>
          <w:sz w:val="28"/>
          <w:szCs w:val="28"/>
        </w:rPr>
        <w:t xml:space="preserve">The Feast Days. Some, but not all, Israelites observe the Feast Days. There are many reasons for the lack of participation. Briefly, everyone must learn the meaning of the Feast Days and begin to observe them. No, the Feast Days are not about eating food. Yes, food is served, but these Feast Days are institutionalized religious days for us to recognize the Holiness of his creation and the Holy Spirit's guidance leading us back in accordance with the Edenic </w:t>
      </w:r>
    </w:p>
    <w:p w14:paraId="7435B5BC" w14:textId="77777777" w:rsidR="005F5F16" w:rsidRDefault="005F5F16" w:rsidP="005F5F16">
      <w:pPr>
        <w:pStyle w:val="NoSpacing"/>
        <w:ind w:left="720"/>
        <w:rPr>
          <w:rFonts w:ascii="Baskerville Old Face" w:hAnsi="Baskerville Old Face" w:cs="Segoe UI Symbol"/>
          <w:sz w:val="28"/>
          <w:szCs w:val="28"/>
        </w:rPr>
      </w:pPr>
    </w:p>
    <w:p w14:paraId="039D2DF1" w14:textId="77777777" w:rsidR="005F5F16" w:rsidRDefault="005F5F16" w:rsidP="005F5F16">
      <w:pPr>
        <w:pStyle w:val="NoSpacing"/>
        <w:ind w:left="720"/>
        <w:rPr>
          <w:rFonts w:ascii="Baskerville Old Face" w:hAnsi="Baskerville Old Face" w:cs="Segoe UI Symbol"/>
          <w:sz w:val="28"/>
          <w:szCs w:val="28"/>
        </w:rPr>
      </w:pPr>
    </w:p>
    <w:p w14:paraId="307F288D" w14:textId="77777777" w:rsidR="005F5F16" w:rsidRDefault="005F5F16" w:rsidP="005F5F16">
      <w:pPr>
        <w:pStyle w:val="NoSpacing"/>
        <w:ind w:left="720"/>
        <w:rPr>
          <w:rFonts w:ascii="Baskerville Old Face" w:hAnsi="Baskerville Old Face" w:cs="Segoe UI Symbol"/>
          <w:sz w:val="28"/>
          <w:szCs w:val="28"/>
        </w:rPr>
      </w:pPr>
    </w:p>
    <w:p w14:paraId="4A2DDAD8" w14:textId="77777777" w:rsidR="005F5F16" w:rsidRDefault="005F5F16" w:rsidP="005F5F16">
      <w:pPr>
        <w:pStyle w:val="NoSpacing"/>
        <w:ind w:left="720"/>
        <w:rPr>
          <w:rFonts w:ascii="Baskerville Old Face" w:hAnsi="Baskerville Old Face" w:cs="Segoe UI Symbol"/>
          <w:sz w:val="28"/>
          <w:szCs w:val="28"/>
        </w:rPr>
      </w:pPr>
    </w:p>
    <w:p w14:paraId="78F865E8" w14:textId="77777777" w:rsidR="005F5F16" w:rsidRDefault="005F5F16" w:rsidP="005F5F16">
      <w:pPr>
        <w:pStyle w:val="NoSpacing"/>
        <w:ind w:left="720"/>
        <w:rPr>
          <w:rFonts w:ascii="Baskerville Old Face" w:hAnsi="Baskerville Old Face" w:cs="Segoe UI Symbol"/>
          <w:sz w:val="28"/>
          <w:szCs w:val="28"/>
        </w:rPr>
      </w:pPr>
    </w:p>
    <w:p w14:paraId="47EE0D0A" w14:textId="77777777" w:rsidR="005F5F16" w:rsidRDefault="005F5F16" w:rsidP="005F5F16">
      <w:pPr>
        <w:pStyle w:val="NoSpacing"/>
        <w:ind w:left="720"/>
        <w:rPr>
          <w:rFonts w:ascii="Baskerville Old Face" w:hAnsi="Baskerville Old Face" w:cs="Segoe UI Symbol"/>
          <w:sz w:val="28"/>
          <w:szCs w:val="28"/>
        </w:rPr>
      </w:pPr>
    </w:p>
    <w:p w14:paraId="7DAD7662" w14:textId="77777777" w:rsidR="005F5F16" w:rsidRDefault="005F5F16" w:rsidP="005F5F16">
      <w:pPr>
        <w:pStyle w:val="NoSpacing"/>
        <w:ind w:left="720"/>
        <w:rPr>
          <w:rFonts w:ascii="Baskerville Old Face" w:hAnsi="Baskerville Old Face" w:cs="Segoe UI Symbol"/>
          <w:sz w:val="28"/>
          <w:szCs w:val="28"/>
        </w:rPr>
      </w:pPr>
    </w:p>
    <w:p w14:paraId="6A14029B" w14:textId="127716AC" w:rsidR="00983C25" w:rsidRDefault="005F5F16" w:rsidP="005F5F16">
      <w:pPr>
        <w:pStyle w:val="NoSpacing"/>
        <w:ind w:left="720"/>
        <w:rPr>
          <w:rFonts w:ascii="Baskerville Old Face" w:hAnsi="Baskerville Old Face" w:cs="Segoe UI Symbol"/>
          <w:sz w:val="28"/>
          <w:szCs w:val="28"/>
        </w:rPr>
      </w:pPr>
      <w:r w:rsidRPr="005F5F16">
        <w:rPr>
          <w:rFonts w:ascii="Baskerville Old Face" w:hAnsi="Baskerville Old Face" w:cs="Segoe UI Symbol"/>
          <w:sz w:val="28"/>
          <w:szCs w:val="28"/>
        </w:rPr>
        <w:t xml:space="preserve">Judicial Decree. Christ has come as our </w:t>
      </w:r>
      <w:r w:rsidRPr="005F5F16">
        <w:rPr>
          <w:rFonts w:ascii="Baskerville Old Face" w:hAnsi="Baskerville Old Face" w:cs="Segoe UI Symbol"/>
          <w:sz w:val="28"/>
          <w:szCs w:val="28"/>
        </w:rPr>
        <w:t>re</w:t>
      </w:r>
      <w:r>
        <w:rPr>
          <w:rFonts w:ascii="Baskerville Old Face" w:hAnsi="Baskerville Old Face" w:cs="Segoe UI Symbol"/>
          <w:sz w:val="28"/>
          <w:szCs w:val="28"/>
        </w:rPr>
        <w:t>d</w:t>
      </w:r>
      <w:r w:rsidRPr="005F5F16">
        <w:rPr>
          <w:rFonts w:ascii="Baskerville Old Face" w:hAnsi="Baskerville Old Face" w:cs="Segoe UI Symbol"/>
          <w:sz w:val="28"/>
          <w:szCs w:val="28"/>
        </w:rPr>
        <w:t>eemer</w:t>
      </w:r>
      <w:r>
        <w:rPr>
          <w:rFonts w:ascii="Baskerville Old Face" w:hAnsi="Baskerville Old Face" w:cs="Segoe UI Symbol"/>
          <w:sz w:val="28"/>
          <w:szCs w:val="28"/>
        </w:rPr>
        <w:t>. And</w:t>
      </w:r>
      <w:r w:rsidRPr="005F5F16">
        <w:rPr>
          <w:rFonts w:ascii="Baskerville Old Face" w:hAnsi="Baskerville Old Face" w:cs="Segoe UI Symbol"/>
          <w:sz w:val="28"/>
          <w:szCs w:val="28"/>
        </w:rPr>
        <w:t xml:space="preserve"> as a Feast Day</w:t>
      </w:r>
      <w:r>
        <w:rPr>
          <w:rFonts w:ascii="Baskerville Old Face" w:hAnsi="Baskerville Old Face" w:cs="Segoe UI Symbol"/>
          <w:sz w:val="28"/>
          <w:szCs w:val="28"/>
        </w:rPr>
        <w:t>,</w:t>
      </w:r>
      <w:r w:rsidRPr="005F5F16">
        <w:rPr>
          <w:rFonts w:ascii="Baskerville Old Face" w:hAnsi="Baskerville Old Face" w:cs="Segoe UI Symbol"/>
          <w:sz w:val="28"/>
          <w:szCs w:val="28"/>
        </w:rPr>
        <w:t xml:space="preserve"> we enjoy life to its fullness without living in sin.</w:t>
      </w:r>
    </w:p>
    <w:p w14:paraId="575BAB64" w14:textId="0EBE776B" w:rsidR="005F5F16" w:rsidRDefault="006E05EB" w:rsidP="005F5F16">
      <w:pPr>
        <w:pStyle w:val="NoSpacing"/>
        <w:rPr>
          <w:rFonts w:ascii="Baskerville Old Face" w:hAnsi="Baskerville Old Face" w:cs="Segoe UI Symbol"/>
          <w:sz w:val="28"/>
          <w:szCs w:val="28"/>
        </w:rPr>
      </w:pPr>
      <w:r>
        <w:rPr>
          <w:rFonts w:ascii="Baskerville Old Face" w:hAnsi="Baskerville Old Face" w:cs="Segoe UI Symbol"/>
          <w:sz w:val="28"/>
          <w:szCs w:val="28"/>
        </w:rPr>
        <w:t>There is much more to discuss regarding the monthly feature summary. Some will be highlighted in upcoming presentations. Still, you have dates to review, and doing so will enhance our understanding of our pending transition back home to Israel.</w:t>
      </w:r>
    </w:p>
    <w:p w14:paraId="6D6946D7" w14:textId="77777777" w:rsidR="00851091" w:rsidRDefault="00851091" w:rsidP="005F5F16">
      <w:pPr>
        <w:pStyle w:val="NoSpacing"/>
        <w:rPr>
          <w:rFonts w:ascii="Baskerville Old Face" w:hAnsi="Baskerville Old Face" w:cs="Segoe UI Symbol"/>
          <w:sz w:val="28"/>
          <w:szCs w:val="28"/>
        </w:rPr>
      </w:pPr>
    </w:p>
    <w:p w14:paraId="0A546013" w14:textId="0CF5FA47" w:rsidR="00851091" w:rsidRDefault="006E05EB" w:rsidP="005F5F16">
      <w:pPr>
        <w:pStyle w:val="NoSpacing"/>
        <w:rPr>
          <w:rFonts w:ascii="Baskerville Old Face" w:hAnsi="Baskerville Old Face" w:cs="Segoe UI Symbol"/>
          <w:sz w:val="28"/>
          <w:szCs w:val="28"/>
        </w:rPr>
      </w:pPr>
      <w:r>
        <w:rPr>
          <w:rFonts w:ascii="Baskerville Old Face" w:hAnsi="Baskerville Old Face" w:cs="Segoe UI Symbol"/>
          <w:noProof/>
          <w:sz w:val="28"/>
          <w:szCs w:val="28"/>
        </w:rPr>
        <mc:AlternateContent>
          <mc:Choice Requires="wps">
            <w:drawing>
              <wp:anchor distT="0" distB="0" distL="114300" distR="114300" simplePos="0" relativeHeight="251659264" behindDoc="0" locked="0" layoutInCell="1" allowOverlap="1" wp14:anchorId="21DD61C0" wp14:editId="538F32DC">
                <wp:simplePos x="0" y="0"/>
                <wp:positionH relativeFrom="column">
                  <wp:posOffset>2604135</wp:posOffset>
                </wp:positionH>
                <wp:positionV relativeFrom="paragraph">
                  <wp:posOffset>17780</wp:posOffset>
                </wp:positionV>
                <wp:extent cx="712470" cy="3319145"/>
                <wp:effectExtent l="0" t="7938" r="22543" b="22542"/>
                <wp:wrapNone/>
                <wp:docPr id="1515377636" name="Right Brace 1"/>
                <wp:cNvGraphicFramePr/>
                <a:graphic xmlns:a="http://schemas.openxmlformats.org/drawingml/2006/main">
                  <a:graphicData uri="http://schemas.microsoft.com/office/word/2010/wordprocessingShape">
                    <wps:wsp>
                      <wps:cNvSpPr/>
                      <wps:spPr>
                        <a:xfrm rot="5400000">
                          <a:off x="0" y="0"/>
                          <a:ext cx="712470" cy="3319145"/>
                        </a:xfrm>
                        <a:prstGeom prst="rightBrace">
                          <a:avLst>
                            <a:gd name="adj1" fmla="val 8333"/>
                            <a:gd name="adj2" fmla="val 50537"/>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B25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05.05pt;margin-top:1.4pt;width:56.1pt;height:26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" adj="386,10916" strokecolor="black [3200]" strokeweight="1.5pt">
                <v:stroke joinstyle="miter"/>
              </v:shape>
            </w:pict>
          </mc:Fallback>
        </mc:AlternateContent>
      </w:r>
    </w:p>
    <w:p w14:paraId="45ED93CE" w14:textId="7C1ED41F" w:rsidR="00851091" w:rsidRDefault="00851091" w:rsidP="005F5F16">
      <w:pPr>
        <w:pStyle w:val="NoSpacing"/>
        <w:rPr>
          <w:rFonts w:ascii="Baskerville Old Face" w:hAnsi="Baskerville Old Face" w:cs="Segoe UI Symbol"/>
          <w:sz w:val="28"/>
          <w:szCs w:val="28"/>
        </w:rPr>
      </w:pPr>
    </w:p>
    <w:tbl>
      <w:tblPr>
        <w:tblStyle w:val="TableGrid"/>
        <w:tblW w:w="0" w:type="auto"/>
        <w:jc w:val="center"/>
        <w:tblLook w:val="04A0" w:firstRow="1" w:lastRow="0" w:firstColumn="1" w:lastColumn="0" w:noHBand="0" w:noVBand="1"/>
      </w:tblPr>
      <w:tblGrid>
        <w:gridCol w:w="720"/>
        <w:gridCol w:w="720"/>
        <w:gridCol w:w="720"/>
        <w:gridCol w:w="720"/>
        <w:gridCol w:w="720"/>
        <w:gridCol w:w="720"/>
        <w:gridCol w:w="720"/>
      </w:tblGrid>
      <w:tr w:rsidR="00851091" w14:paraId="462F7E4C" w14:textId="77777777" w:rsidTr="00A66B27">
        <w:trPr>
          <w:jc w:val="center"/>
        </w:trPr>
        <w:tc>
          <w:tcPr>
            <w:tcW w:w="720" w:type="dxa"/>
          </w:tcPr>
          <w:p w14:paraId="18311A23" w14:textId="67269618"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6</w:t>
            </w:r>
          </w:p>
        </w:tc>
        <w:tc>
          <w:tcPr>
            <w:tcW w:w="720" w:type="dxa"/>
          </w:tcPr>
          <w:p w14:paraId="2EC4725A" w14:textId="517EEA79"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7</w:t>
            </w:r>
          </w:p>
        </w:tc>
        <w:tc>
          <w:tcPr>
            <w:tcW w:w="720" w:type="dxa"/>
          </w:tcPr>
          <w:p w14:paraId="4163C508" w14:textId="28B30A87"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19</w:t>
            </w:r>
          </w:p>
        </w:tc>
        <w:tc>
          <w:tcPr>
            <w:tcW w:w="720" w:type="dxa"/>
          </w:tcPr>
          <w:p w14:paraId="2B8A91AF" w14:textId="75C9E8AC"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20</w:t>
            </w:r>
          </w:p>
        </w:tc>
        <w:tc>
          <w:tcPr>
            <w:tcW w:w="720" w:type="dxa"/>
          </w:tcPr>
          <w:p w14:paraId="7E03AEE0" w14:textId="5DEFF536"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6</w:t>
            </w:r>
          </w:p>
        </w:tc>
        <w:tc>
          <w:tcPr>
            <w:tcW w:w="720" w:type="dxa"/>
          </w:tcPr>
          <w:p w14:paraId="6E58D270" w14:textId="41F6421B"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21</w:t>
            </w:r>
          </w:p>
        </w:tc>
        <w:tc>
          <w:tcPr>
            <w:tcW w:w="720" w:type="dxa"/>
          </w:tcPr>
          <w:p w14:paraId="608E17AF" w14:textId="4AE76321"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22</w:t>
            </w:r>
          </w:p>
        </w:tc>
      </w:tr>
      <w:tr w:rsidR="00851091" w14:paraId="6E63AC52" w14:textId="77777777" w:rsidTr="00A66B27">
        <w:trPr>
          <w:jc w:val="center"/>
        </w:trPr>
        <w:tc>
          <w:tcPr>
            <w:tcW w:w="720" w:type="dxa"/>
          </w:tcPr>
          <w:p w14:paraId="270D0EC4" w14:textId="29D2C91F"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8</w:t>
            </w:r>
          </w:p>
        </w:tc>
        <w:tc>
          <w:tcPr>
            <w:tcW w:w="720" w:type="dxa"/>
          </w:tcPr>
          <w:p w14:paraId="3AFC30EC" w14:textId="630F54C5"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23</w:t>
            </w:r>
          </w:p>
        </w:tc>
        <w:tc>
          <w:tcPr>
            <w:tcW w:w="720" w:type="dxa"/>
          </w:tcPr>
          <w:p w14:paraId="77ED9EA7" w14:textId="5E33F769"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8</w:t>
            </w:r>
          </w:p>
        </w:tc>
        <w:tc>
          <w:tcPr>
            <w:tcW w:w="720" w:type="dxa"/>
          </w:tcPr>
          <w:p w14:paraId="71EC7376" w14:textId="0AA75BED"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9</w:t>
            </w:r>
          </w:p>
        </w:tc>
        <w:tc>
          <w:tcPr>
            <w:tcW w:w="720" w:type="dxa"/>
          </w:tcPr>
          <w:p w14:paraId="17166D61" w14:textId="762992C4"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24</w:t>
            </w:r>
          </w:p>
        </w:tc>
        <w:tc>
          <w:tcPr>
            <w:tcW w:w="720" w:type="dxa"/>
          </w:tcPr>
          <w:p w14:paraId="526EF149" w14:textId="29BDA475"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10</w:t>
            </w:r>
          </w:p>
        </w:tc>
        <w:tc>
          <w:tcPr>
            <w:tcW w:w="720" w:type="dxa"/>
          </w:tcPr>
          <w:p w14:paraId="052B6F90" w14:textId="19451B31"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11</w:t>
            </w:r>
          </w:p>
        </w:tc>
      </w:tr>
      <w:tr w:rsidR="00851091" w14:paraId="668E519C" w14:textId="77777777" w:rsidTr="00A66B27">
        <w:trPr>
          <w:jc w:val="center"/>
        </w:trPr>
        <w:tc>
          <w:tcPr>
            <w:tcW w:w="720" w:type="dxa"/>
          </w:tcPr>
          <w:p w14:paraId="00D6AACC" w14:textId="6B74EFFF"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26</w:t>
            </w:r>
          </w:p>
        </w:tc>
        <w:tc>
          <w:tcPr>
            <w:tcW w:w="720" w:type="dxa"/>
          </w:tcPr>
          <w:p w14:paraId="466301E4" w14:textId="1B8149AF"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26</w:t>
            </w:r>
          </w:p>
        </w:tc>
        <w:tc>
          <w:tcPr>
            <w:tcW w:w="720" w:type="dxa"/>
          </w:tcPr>
          <w:p w14:paraId="5F4C60FE" w14:textId="410D6530"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11</w:t>
            </w:r>
          </w:p>
        </w:tc>
        <w:tc>
          <w:tcPr>
            <w:tcW w:w="720" w:type="dxa"/>
          </w:tcPr>
          <w:p w14:paraId="1031DB6D" w14:textId="3C33ABAF"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27</w:t>
            </w:r>
          </w:p>
        </w:tc>
        <w:tc>
          <w:tcPr>
            <w:tcW w:w="720" w:type="dxa"/>
          </w:tcPr>
          <w:p w14:paraId="63BB8E55" w14:textId="40EBA0F8"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28</w:t>
            </w:r>
          </w:p>
        </w:tc>
        <w:tc>
          <w:tcPr>
            <w:tcW w:w="720" w:type="dxa"/>
          </w:tcPr>
          <w:p w14:paraId="2D503363" w14:textId="3644C121"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27</w:t>
            </w:r>
          </w:p>
        </w:tc>
        <w:tc>
          <w:tcPr>
            <w:tcW w:w="720" w:type="dxa"/>
          </w:tcPr>
          <w:p w14:paraId="78D03501" w14:textId="6E5E2B4D"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26</w:t>
            </w:r>
          </w:p>
        </w:tc>
      </w:tr>
      <w:tr w:rsidR="00851091" w14:paraId="69FE1B95" w14:textId="77777777" w:rsidTr="00A66B27">
        <w:trPr>
          <w:jc w:val="center"/>
        </w:trPr>
        <w:tc>
          <w:tcPr>
            <w:tcW w:w="720" w:type="dxa"/>
          </w:tcPr>
          <w:p w14:paraId="7CDDBD63" w14:textId="5A7051C9"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28</w:t>
            </w:r>
          </w:p>
        </w:tc>
        <w:tc>
          <w:tcPr>
            <w:tcW w:w="720" w:type="dxa"/>
          </w:tcPr>
          <w:p w14:paraId="61B7787F" w14:textId="3954068D"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27</w:t>
            </w:r>
          </w:p>
        </w:tc>
        <w:tc>
          <w:tcPr>
            <w:tcW w:w="720" w:type="dxa"/>
          </w:tcPr>
          <w:p w14:paraId="569691F4" w14:textId="0341A854" w:rsidR="00851091" w:rsidRPr="00A66B27" w:rsidRDefault="00A66B27" w:rsidP="00A66B27">
            <w:pPr>
              <w:pStyle w:val="NoSpacing"/>
              <w:jc w:val="center"/>
              <w:rPr>
                <w:rFonts w:ascii="Baskerville Old Face" w:hAnsi="Baskerville Old Face" w:cs="Segoe UI Symbol"/>
              </w:rPr>
            </w:pPr>
            <w:r>
              <w:rPr>
                <w:rFonts w:ascii="Baskerville Old Face" w:hAnsi="Baskerville Old Face" w:cs="Segoe UI Symbol"/>
              </w:rPr>
              <w:t>27</w:t>
            </w:r>
          </w:p>
        </w:tc>
        <w:tc>
          <w:tcPr>
            <w:tcW w:w="720" w:type="dxa"/>
          </w:tcPr>
          <w:p w14:paraId="696A141B" w14:textId="6492B032"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24</w:t>
            </w:r>
          </w:p>
        </w:tc>
        <w:tc>
          <w:tcPr>
            <w:tcW w:w="720" w:type="dxa"/>
          </w:tcPr>
          <w:p w14:paraId="2592412D" w14:textId="0CC1FBD4"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29</w:t>
            </w:r>
          </w:p>
        </w:tc>
        <w:tc>
          <w:tcPr>
            <w:tcW w:w="720" w:type="dxa"/>
          </w:tcPr>
          <w:p w14:paraId="76DB2E5D" w14:textId="13302466"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16</w:t>
            </w:r>
          </w:p>
        </w:tc>
        <w:tc>
          <w:tcPr>
            <w:tcW w:w="720" w:type="dxa"/>
          </w:tcPr>
          <w:p w14:paraId="518EAFE1" w14:textId="12AC87BD"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16</w:t>
            </w:r>
          </w:p>
        </w:tc>
      </w:tr>
      <w:tr w:rsidR="00851091" w14:paraId="40F13DF7" w14:textId="77777777" w:rsidTr="00A66B27">
        <w:trPr>
          <w:jc w:val="center"/>
        </w:trPr>
        <w:tc>
          <w:tcPr>
            <w:tcW w:w="720" w:type="dxa"/>
          </w:tcPr>
          <w:p w14:paraId="547522F5" w14:textId="512986F5"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28</w:t>
            </w:r>
          </w:p>
        </w:tc>
        <w:tc>
          <w:tcPr>
            <w:tcW w:w="720" w:type="dxa"/>
          </w:tcPr>
          <w:p w14:paraId="2CCAE633" w14:textId="32BABA48"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16</w:t>
            </w:r>
          </w:p>
        </w:tc>
        <w:tc>
          <w:tcPr>
            <w:tcW w:w="720" w:type="dxa"/>
          </w:tcPr>
          <w:p w14:paraId="7EEDFA28" w14:textId="679C2F54"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17</w:t>
            </w:r>
          </w:p>
        </w:tc>
        <w:tc>
          <w:tcPr>
            <w:tcW w:w="720" w:type="dxa"/>
          </w:tcPr>
          <w:p w14:paraId="0AA2C340" w14:textId="769365F7"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26</w:t>
            </w:r>
          </w:p>
        </w:tc>
        <w:tc>
          <w:tcPr>
            <w:tcW w:w="720" w:type="dxa"/>
          </w:tcPr>
          <w:p w14:paraId="21292553" w14:textId="2CF11F67"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20</w:t>
            </w:r>
          </w:p>
        </w:tc>
        <w:tc>
          <w:tcPr>
            <w:tcW w:w="720" w:type="dxa"/>
          </w:tcPr>
          <w:p w14:paraId="4289A809" w14:textId="1439BF3B"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25</w:t>
            </w:r>
          </w:p>
        </w:tc>
        <w:tc>
          <w:tcPr>
            <w:tcW w:w="720" w:type="dxa"/>
          </w:tcPr>
          <w:p w14:paraId="360034AA" w14:textId="2A62A39A"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19</w:t>
            </w:r>
          </w:p>
        </w:tc>
      </w:tr>
      <w:tr w:rsidR="00851091" w14:paraId="0E203AAE" w14:textId="77777777" w:rsidTr="00A66B27">
        <w:trPr>
          <w:jc w:val="center"/>
        </w:trPr>
        <w:tc>
          <w:tcPr>
            <w:tcW w:w="720" w:type="dxa"/>
          </w:tcPr>
          <w:p w14:paraId="01E30F44" w14:textId="7EFED4ED"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20</w:t>
            </w:r>
          </w:p>
        </w:tc>
        <w:tc>
          <w:tcPr>
            <w:tcW w:w="720" w:type="dxa"/>
          </w:tcPr>
          <w:p w14:paraId="7ECD51B5" w14:textId="343C1FE5"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21</w:t>
            </w:r>
          </w:p>
        </w:tc>
        <w:tc>
          <w:tcPr>
            <w:tcW w:w="720" w:type="dxa"/>
          </w:tcPr>
          <w:p w14:paraId="25C47AD4" w14:textId="01EF22FD"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22</w:t>
            </w:r>
          </w:p>
        </w:tc>
        <w:tc>
          <w:tcPr>
            <w:tcW w:w="720" w:type="dxa"/>
          </w:tcPr>
          <w:p w14:paraId="7DA8DAF9" w14:textId="6E7D5013"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23</w:t>
            </w:r>
          </w:p>
        </w:tc>
        <w:tc>
          <w:tcPr>
            <w:tcW w:w="720" w:type="dxa"/>
          </w:tcPr>
          <w:p w14:paraId="51E578FE" w14:textId="3AF02B6C"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24</w:t>
            </w:r>
          </w:p>
        </w:tc>
        <w:tc>
          <w:tcPr>
            <w:tcW w:w="720" w:type="dxa"/>
          </w:tcPr>
          <w:p w14:paraId="6B5F8FE6" w14:textId="6FEC4AF1"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25</w:t>
            </w:r>
          </w:p>
        </w:tc>
        <w:tc>
          <w:tcPr>
            <w:tcW w:w="720" w:type="dxa"/>
          </w:tcPr>
          <w:p w14:paraId="4C204C69" w14:textId="168CCDFC" w:rsidR="00851091" w:rsidRPr="00A66B27" w:rsidRDefault="006E05EB" w:rsidP="00A66B27">
            <w:pPr>
              <w:pStyle w:val="NoSpacing"/>
              <w:jc w:val="center"/>
              <w:rPr>
                <w:rFonts w:ascii="Baskerville Old Face" w:hAnsi="Baskerville Old Face" w:cs="Segoe UI Symbol"/>
              </w:rPr>
            </w:pPr>
            <w:r>
              <w:rPr>
                <w:rFonts w:ascii="Baskerville Old Face" w:hAnsi="Baskerville Old Face" w:cs="Segoe UI Symbol"/>
              </w:rPr>
              <w:t>26</w:t>
            </w:r>
          </w:p>
        </w:tc>
      </w:tr>
    </w:tbl>
    <w:p w14:paraId="73C3A65C" w14:textId="2BDFD0CF" w:rsidR="00851091" w:rsidRDefault="00851091" w:rsidP="005F5F16">
      <w:pPr>
        <w:pStyle w:val="NoSpacing"/>
        <w:rPr>
          <w:rFonts w:ascii="Baskerville Old Face" w:hAnsi="Baskerville Old Face" w:cs="Segoe UI Symbol"/>
          <w:sz w:val="28"/>
          <w:szCs w:val="28"/>
        </w:rPr>
      </w:pPr>
    </w:p>
    <w:p w14:paraId="6493BD14" w14:textId="3C752099" w:rsidR="00983C25" w:rsidRDefault="00983C25" w:rsidP="00983C25">
      <w:pPr>
        <w:pStyle w:val="NoSpacing"/>
        <w:rPr>
          <w:rFonts w:ascii="Baskerville Old Face" w:hAnsi="Baskerville Old Face" w:cs="Segoe UI Symbol"/>
          <w:sz w:val="28"/>
          <w:szCs w:val="28"/>
        </w:rPr>
      </w:pPr>
    </w:p>
    <w:p w14:paraId="5C4B4108" w14:textId="52DE1632" w:rsidR="00983C25" w:rsidRDefault="00983C25" w:rsidP="00983C25">
      <w:pPr>
        <w:pStyle w:val="NoSpacing"/>
        <w:rPr>
          <w:rFonts w:ascii="Baskerville Old Face" w:hAnsi="Baskerville Old Face" w:cs="Segoe UI Symbol"/>
          <w:sz w:val="28"/>
          <w:szCs w:val="28"/>
        </w:rPr>
      </w:pPr>
    </w:p>
    <w:p w14:paraId="5E398C02" w14:textId="379EFD2F" w:rsidR="00983C25" w:rsidRPr="006E05EB" w:rsidRDefault="006E05EB" w:rsidP="00983C25">
      <w:pPr>
        <w:pStyle w:val="NoSpacing"/>
        <w:rPr>
          <w:rFonts w:ascii="Baskerville Old Face" w:hAnsi="Baskerville Old Face" w:cs="Segoe UI Symbol"/>
          <w:b/>
          <w:bCs/>
          <w:sz w:val="32"/>
          <w:szCs w:val="32"/>
        </w:rPr>
      </w:pPr>
      <w:r w:rsidRPr="006E05EB">
        <w:rPr>
          <w:rFonts w:ascii="Baskerville Old Face" w:hAnsi="Baskerville Old Face" w:cs="Segoe UI Symbol"/>
          <w:b/>
          <w:bCs/>
          <w:sz w:val="32"/>
          <w:szCs w:val="32"/>
        </w:rPr>
        <w:t xml:space="preserve">                                                        12</w:t>
      </w:r>
    </w:p>
    <w:p w14:paraId="4E7CE1D2" w14:textId="77777777" w:rsidR="00983C25" w:rsidRDefault="00983C25" w:rsidP="00983C25">
      <w:pPr>
        <w:pStyle w:val="NoSpacing"/>
        <w:rPr>
          <w:rFonts w:ascii="Baskerville Old Face" w:hAnsi="Baskerville Old Face" w:cs="Segoe UI Symbol"/>
          <w:sz w:val="28"/>
          <w:szCs w:val="28"/>
        </w:rPr>
      </w:pPr>
    </w:p>
    <w:p w14:paraId="40D18787" w14:textId="77777777" w:rsidR="00983C25" w:rsidRDefault="00983C25" w:rsidP="00983C25">
      <w:pPr>
        <w:pStyle w:val="NoSpacing"/>
        <w:rPr>
          <w:rFonts w:ascii="Baskerville Old Face" w:hAnsi="Baskerville Old Face" w:cs="Segoe UI Symbol"/>
          <w:sz w:val="28"/>
          <w:szCs w:val="28"/>
        </w:rPr>
      </w:pPr>
    </w:p>
    <w:p w14:paraId="35845F03" w14:textId="77777777" w:rsidR="00983C25" w:rsidRDefault="00983C25" w:rsidP="00983C25">
      <w:pPr>
        <w:pStyle w:val="NoSpacing"/>
        <w:rPr>
          <w:rFonts w:ascii="Baskerville Old Face" w:hAnsi="Baskerville Old Face" w:cs="Segoe UI Symbol"/>
          <w:sz w:val="28"/>
          <w:szCs w:val="28"/>
        </w:rPr>
      </w:pPr>
    </w:p>
    <w:p w14:paraId="04BB590A" w14:textId="77777777" w:rsidR="00983C25" w:rsidRDefault="00983C25" w:rsidP="00983C25">
      <w:pPr>
        <w:pStyle w:val="NoSpacing"/>
        <w:rPr>
          <w:rFonts w:ascii="Baskerville Old Face" w:hAnsi="Baskerville Old Face" w:cs="Segoe UI Symbol"/>
          <w:sz w:val="28"/>
          <w:szCs w:val="28"/>
        </w:rPr>
      </w:pPr>
    </w:p>
    <w:p w14:paraId="7868B98D" w14:textId="77777777" w:rsidR="00983C25" w:rsidRDefault="00983C25" w:rsidP="00983C25">
      <w:pPr>
        <w:pStyle w:val="NoSpacing"/>
        <w:rPr>
          <w:rFonts w:ascii="Baskerville Old Face" w:hAnsi="Baskerville Old Face" w:cs="Segoe UI Symbol"/>
          <w:sz w:val="28"/>
          <w:szCs w:val="28"/>
        </w:rPr>
      </w:pPr>
    </w:p>
    <w:tbl>
      <w:tblPr>
        <w:tblStyle w:val="Calendar2"/>
        <w:tblW w:w="0" w:type="auto"/>
        <w:jc w:val="center"/>
        <w:tblLook w:val="04A0" w:firstRow="1" w:lastRow="0" w:firstColumn="1" w:lastColumn="0" w:noHBand="0" w:noVBand="1"/>
      </w:tblPr>
      <w:tblGrid>
        <w:gridCol w:w="720"/>
        <w:gridCol w:w="720"/>
        <w:gridCol w:w="720"/>
        <w:gridCol w:w="720"/>
        <w:gridCol w:w="720"/>
        <w:gridCol w:w="720"/>
        <w:gridCol w:w="720"/>
      </w:tblGrid>
      <w:tr w:rsidR="00983C25" w14:paraId="0F9C3CBD" w14:textId="77777777" w:rsidTr="00F64E49">
        <w:trPr>
          <w:cnfStyle w:val="100000000000" w:firstRow="1" w:lastRow="0" w:firstColumn="0" w:lastColumn="0" w:oddVBand="0" w:evenVBand="0" w:oddHBand="0" w:evenHBand="0" w:firstRowFirstColumn="0" w:firstRowLastColumn="0" w:lastRowFirstColumn="0" w:lastRowLastColumn="0"/>
          <w:trHeight w:val="720"/>
          <w:tblHeader/>
          <w:jc w:val="center"/>
        </w:trPr>
        <w:tc>
          <w:tcPr>
            <w:tcW w:w="5040" w:type="dxa"/>
            <w:gridSpan w:val="7"/>
          </w:tcPr>
          <w:p w14:paraId="35336451" w14:textId="77777777" w:rsidR="00983C25" w:rsidRDefault="00983C25" w:rsidP="00F64E49">
            <w:pPr>
              <w:rPr>
                <w:color w:val="0F4761" w:themeColor="accent1" w:themeShade="BF"/>
                <w:sz w:val="40"/>
              </w:rPr>
            </w:pPr>
            <w:r>
              <w:rPr>
                <w:color w:val="0F4761" w:themeColor="accent1" w:themeShade="BF"/>
                <w:sz w:val="40"/>
                <w:szCs w:val="40"/>
              </w:rPr>
              <w:t>May</w:t>
            </w:r>
          </w:p>
        </w:tc>
      </w:tr>
      <w:tr w:rsidR="00983C25" w14:paraId="5C2865DC" w14:textId="77777777" w:rsidTr="00F64E49">
        <w:trPr>
          <w:cnfStyle w:val="100000000000" w:firstRow="1" w:lastRow="0" w:firstColumn="0" w:lastColumn="0" w:oddVBand="0" w:evenVBand="0" w:oddHBand="0" w:evenHBand="0" w:firstRowFirstColumn="0" w:firstRowLastColumn="0" w:lastRowFirstColumn="0" w:lastRowLastColumn="0"/>
          <w:tblHeader/>
          <w:jc w:val="center"/>
        </w:trPr>
        <w:tc>
          <w:tcPr>
            <w:tcW w:w="720" w:type="dxa"/>
          </w:tcPr>
          <w:p w14:paraId="77D2D2CF" w14:textId="77777777" w:rsidR="00983C25" w:rsidRDefault="00983C25" w:rsidP="00F64E49">
            <w:r>
              <w:t>M</w:t>
            </w:r>
          </w:p>
        </w:tc>
        <w:tc>
          <w:tcPr>
            <w:tcW w:w="720" w:type="dxa"/>
          </w:tcPr>
          <w:p w14:paraId="6DEE3938" w14:textId="77777777" w:rsidR="00983C25" w:rsidRDefault="00983C25" w:rsidP="00F64E49">
            <w:r>
              <w:t>T</w:t>
            </w:r>
          </w:p>
        </w:tc>
        <w:tc>
          <w:tcPr>
            <w:tcW w:w="720" w:type="dxa"/>
          </w:tcPr>
          <w:p w14:paraId="67161A71" w14:textId="77777777" w:rsidR="00983C25" w:rsidRDefault="00983C25" w:rsidP="00F64E49">
            <w:r>
              <w:t>W</w:t>
            </w:r>
          </w:p>
        </w:tc>
        <w:tc>
          <w:tcPr>
            <w:tcW w:w="720" w:type="dxa"/>
          </w:tcPr>
          <w:p w14:paraId="5601600E" w14:textId="77777777" w:rsidR="00983C25" w:rsidRDefault="00983C25" w:rsidP="00F64E49">
            <w:r>
              <w:t>T</w:t>
            </w:r>
          </w:p>
        </w:tc>
        <w:tc>
          <w:tcPr>
            <w:tcW w:w="720" w:type="dxa"/>
          </w:tcPr>
          <w:p w14:paraId="0DCECE5C" w14:textId="77777777" w:rsidR="00983C25" w:rsidRDefault="00983C25" w:rsidP="00F64E49">
            <w:r>
              <w:t>F</w:t>
            </w:r>
          </w:p>
        </w:tc>
        <w:tc>
          <w:tcPr>
            <w:tcW w:w="720" w:type="dxa"/>
          </w:tcPr>
          <w:p w14:paraId="51CF47A8" w14:textId="77777777" w:rsidR="00983C25" w:rsidRDefault="00983C25" w:rsidP="00F64E49">
            <w:r>
              <w:t>S</w:t>
            </w:r>
          </w:p>
        </w:tc>
        <w:tc>
          <w:tcPr>
            <w:tcW w:w="720" w:type="dxa"/>
          </w:tcPr>
          <w:p w14:paraId="17FCE6A1" w14:textId="77777777" w:rsidR="00983C25" w:rsidRDefault="00983C25" w:rsidP="00F64E49">
            <w:pPr>
              <w:tabs>
                <w:tab w:val="center" w:pos="252"/>
              </w:tabs>
            </w:pPr>
            <w:r>
              <w:t>S</w:t>
            </w:r>
          </w:p>
        </w:tc>
      </w:tr>
      <w:tr w:rsidR="00983C25" w14:paraId="60D67640" w14:textId="77777777" w:rsidTr="00F64E49">
        <w:trPr>
          <w:jc w:val="center"/>
        </w:trPr>
        <w:tc>
          <w:tcPr>
            <w:tcW w:w="720" w:type="dxa"/>
          </w:tcPr>
          <w:p w14:paraId="14D88BAE" w14:textId="77777777" w:rsidR="00983C25" w:rsidRDefault="00983C25" w:rsidP="00F64E49"/>
        </w:tc>
        <w:tc>
          <w:tcPr>
            <w:tcW w:w="720" w:type="dxa"/>
          </w:tcPr>
          <w:p w14:paraId="5273551F" w14:textId="77777777" w:rsidR="00983C25" w:rsidRDefault="00983C25" w:rsidP="00F64E49"/>
        </w:tc>
        <w:tc>
          <w:tcPr>
            <w:tcW w:w="720" w:type="dxa"/>
          </w:tcPr>
          <w:p w14:paraId="2D9567F8" w14:textId="77777777" w:rsidR="00983C25" w:rsidRDefault="00983C25" w:rsidP="00F64E49"/>
        </w:tc>
        <w:tc>
          <w:tcPr>
            <w:tcW w:w="720" w:type="dxa"/>
          </w:tcPr>
          <w:p w14:paraId="57C26989" w14:textId="77777777" w:rsidR="00983C25" w:rsidRDefault="00983C25" w:rsidP="00F64E49"/>
        </w:tc>
        <w:tc>
          <w:tcPr>
            <w:tcW w:w="720" w:type="dxa"/>
          </w:tcPr>
          <w:p w14:paraId="5857A1CE" w14:textId="77777777" w:rsidR="00983C25" w:rsidRDefault="00983C25" w:rsidP="00F64E49">
            <w:r>
              <w:t>1</w:t>
            </w:r>
          </w:p>
        </w:tc>
        <w:tc>
          <w:tcPr>
            <w:tcW w:w="720" w:type="dxa"/>
          </w:tcPr>
          <w:p w14:paraId="34E75166" w14:textId="77777777" w:rsidR="00983C25" w:rsidRDefault="00983C25" w:rsidP="00F64E49">
            <w:r>
              <w:t>2</w:t>
            </w:r>
          </w:p>
        </w:tc>
        <w:tc>
          <w:tcPr>
            <w:tcW w:w="720" w:type="dxa"/>
          </w:tcPr>
          <w:p w14:paraId="292A8FAC" w14:textId="77777777" w:rsidR="00983C25" w:rsidRDefault="00983C25" w:rsidP="00F64E49">
            <w:r>
              <w:t>3</w:t>
            </w:r>
          </w:p>
        </w:tc>
      </w:tr>
      <w:tr w:rsidR="00983C25" w14:paraId="395A2A11" w14:textId="77777777" w:rsidTr="00F64E49">
        <w:trPr>
          <w:jc w:val="center"/>
        </w:trPr>
        <w:tc>
          <w:tcPr>
            <w:tcW w:w="720" w:type="dxa"/>
          </w:tcPr>
          <w:p w14:paraId="1E835B01" w14:textId="77777777" w:rsidR="00983C25" w:rsidRDefault="00983C25" w:rsidP="00F64E49">
            <w:r>
              <w:t>4</w:t>
            </w:r>
          </w:p>
        </w:tc>
        <w:tc>
          <w:tcPr>
            <w:tcW w:w="720" w:type="dxa"/>
          </w:tcPr>
          <w:p w14:paraId="30470277" w14:textId="77777777" w:rsidR="00983C25" w:rsidRDefault="00983C25" w:rsidP="00F64E49">
            <w:r>
              <w:t>5</w:t>
            </w:r>
          </w:p>
        </w:tc>
        <w:tc>
          <w:tcPr>
            <w:tcW w:w="720" w:type="dxa"/>
          </w:tcPr>
          <w:p w14:paraId="2F36658D" w14:textId="77777777" w:rsidR="00983C25" w:rsidRDefault="00983C25" w:rsidP="00F64E49">
            <w:r>
              <w:t>6</w:t>
            </w:r>
          </w:p>
        </w:tc>
        <w:tc>
          <w:tcPr>
            <w:tcW w:w="720" w:type="dxa"/>
          </w:tcPr>
          <w:p w14:paraId="54E28F4A" w14:textId="77777777" w:rsidR="00983C25" w:rsidRDefault="00983C25" w:rsidP="00F64E49">
            <w:r>
              <w:t>7</w:t>
            </w:r>
          </w:p>
        </w:tc>
        <w:tc>
          <w:tcPr>
            <w:tcW w:w="720" w:type="dxa"/>
          </w:tcPr>
          <w:p w14:paraId="129FE526" w14:textId="77777777" w:rsidR="00983C25" w:rsidRDefault="00983C25" w:rsidP="00F64E49">
            <w:r>
              <w:t>8</w:t>
            </w:r>
          </w:p>
        </w:tc>
        <w:tc>
          <w:tcPr>
            <w:tcW w:w="720" w:type="dxa"/>
          </w:tcPr>
          <w:p w14:paraId="1B269F6D" w14:textId="77777777" w:rsidR="00983C25" w:rsidRDefault="00983C25" w:rsidP="00F64E49">
            <w:r>
              <w:t>9</w:t>
            </w:r>
          </w:p>
        </w:tc>
        <w:tc>
          <w:tcPr>
            <w:tcW w:w="720" w:type="dxa"/>
          </w:tcPr>
          <w:p w14:paraId="33BECA0D" w14:textId="77777777" w:rsidR="00983C25" w:rsidRDefault="00983C25" w:rsidP="00F64E49">
            <w:r>
              <w:t>10</w:t>
            </w:r>
          </w:p>
        </w:tc>
      </w:tr>
      <w:tr w:rsidR="00983C25" w14:paraId="015890FE" w14:textId="77777777" w:rsidTr="00F64E49">
        <w:trPr>
          <w:jc w:val="center"/>
        </w:trPr>
        <w:tc>
          <w:tcPr>
            <w:tcW w:w="720" w:type="dxa"/>
          </w:tcPr>
          <w:p w14:paraId="530CA3BE" w14:textId="77777777" w:rsidR="00983C25" w:rsidRDefault="00983C25" w:rsidP="00F64E49">
            <w:r>
              <w:t>11</w:t>
            </w:r>
          </w:p>
        </w:tc>
        <w:tc>
          <w:tcPr>
            <w:tcW w:w="720" w:type="dxa"/>
          </w:tcPr>
          <w:p w14:paraId="26F29A80" w14:textId="77777777" w:rsidR="00983C25" w:rsidRDefault="00983C25" w:rsidP="00F64E49">
            <w:r>
              <w:t>12</w:t>
            </w:r>
          </w:p>
        </w:tc>
        <w:tc>
          <w:tcPr>
            <w:tcW w:w="720" w:type="dxa"/>
          </w:tcPr>
          <w:p w14:paraId="441DD83F" w14:textId="77777777" w:rsidR="00983C25" w:rsidRDefault="00983C25" w:rsidP="00F64E49">
            <w:r>
              <w:t>13</w:t>
            </w:r>
          </w:p>
        </w:tc>
        <w:tc>
          <w:tcPr>
            <w:tcW w:w="720" w:type="dxa"/>
          </w:tcPr>
          <w:p w14:paraId="47FDC81F" w14:textId="77777777" w:rsidR="00983C25" w:rsidRDefault="00983C25" w:rsidP="00F64E49">
            <w:r>
              <w:t>14</w:t>
            </w:r>
          </w:p>
        </w:tc>
        <w:tc>
          <w:tcPr>
            <w:tcW w:w="720" w:type="dxa"/>
          </w:tcPr>
          <w:p w14:paraId="6DF321EE" w14:textId="77777777" w:rsidR="00983C25" w:rsidRDefault="00983C25" w:rsidP="00F64E49">
            <w:r>
              <w:t>15</w:t>
            </w:r>
          </w:p>
        </w:tc>
        <w:tc>
          <w:tcPr>
            <w:tcW w:w="720" w:type="dxa"/>
          </w:tcPr>
          <w:p w14:paraId="23698B0B" w14:textId="77777777" w:rsidR="00983C25" w:rsidRDefault="00983C25" w:rsidP="00F64E49">
            <w:r>
              <w:t>16</w:t>
            </w:r>
          </w:p>
        </w:tc>
        <w:tc>
          <w:tcPr>
            <w:tcW w:w="720" w:type="dxa"/>
          </w:tcPr>
          <w:p w14:paraId="2307E7E9" w14:textId="77777777" w:rsidR="00983C25" w:rsidRDefault="00983C25" w:rsidP="00F64E49">
            <w:r>
              <w:t>17</w:t>
            </w:r>
          </w:p>
        </w:tc>
      </w:tr>
      <w:tr w:rsidR="00983C25" w14:paraId="2A6A6661" w14:textId="77777777" w:rsidTr="00F64E49">
        <w:trPr>
          <w:jc w:val="center"/>
        </w:trPr>
        <w:tc>
          <w:tcPr>
            <w:tcW w:w="720" w:type="dxa"/>
          </w:tcPr>
          <w:p w14:paraId="3DBF0E5B" w14:textId="77777777" w:rsidR="00983C25" w:rsidRDefault="00983C25" w:rsidP="00F64E49">
            <w:r>
              <w:t>18</w:t>
            </w:r>
          </w:p>
        </w:tc>
        <w:tc>
          <w:tcPr>
            <w:tcW w:w="720" w:type="dxa"/>
          </w:tcPr>
          <w:p w14:paraId="659687BC" w14:textId="77777777" w:rsidR="00983C25" w:rsidRDefault="00983C25" w:rsidP="00F64E49">
            <w:r>
              <w:t>19</w:t>
            </w:r>
          </w:p>
        </w:tc>
        <w:tc>
          <w:tcPr>
            <w:tcW w:w="720" w:type="dxa"/>
          </w:tcPr>
          <w:p w14:paraId="5AE211F5" w14:textId="77777777" w:rsidR="00983C25" w:rsidRDefault="00983C25" w:rsidP="00F64E49">
            <w:r>
              <w:t>20</w:t>
            </w:r>
          </w:p>
        </w:tc>
        <w:tc>
          <w:tcPr>
            <w:tcW w:w="720" w:type="dxa"/>
          </w:tcPr>
          <w:p w14:paraId="2DD7DBF7" w14:textId="77777777" w:rsidR="00983C25" w:rsidRDefault="00983C25" w:rsidP="00F64E49">
            <w:r>
              <w:t>21</w:t>
            </w:r>
          </w:p>
        </w:tc>
        <w:tc>
          <w:tcPr>
            <w:tcW w:w="720" w:type="dxa"/>
          </w:tcPr>
          <w:p w14:paraId="4D1E6527" w14:textId="77777777" w:rsidR="00983C25" w:rsidRDefault="00983C25" w:rsidP="00F64E49">
            <w:r>
              <w:t>22</w:t>
            </w:r>
          </w:p>
        </w:tc>
        <w:tc>
          <w:tcPr>
            <w:tcW w:w="720" w:type="dxa"/>
          </w:tcPr>
          <w:p w14:paraId="221B5B84" w14:textId="77777777" w:rsidR="00983C25" w:rsidRDefault="00983C25" w:rsidP="00F64E49">
            <w:r>
              <w:t>23</w:t>
            </w:r>
          </w:p>
        </w:tc>
        <w:tc>
          <w:tcPr>
            <w:tcW w:w="720" w:type="dxa"/>
          </w:tcPr>
          <w:p w14:paraId="0E92A256" w14:textId="77777777" w:rsidR="00983C25" w:rsidRDefault="00983C25" w:rsidP="00F64E49">
            <w:r>
              <w:t>24</w:t>
            </w:r>
          </w:p>
        </w:tc>
      </w:tr>
      <w:tr w:rsidR="00983C25" w14:paraId="4D3CB6C8" w14:textId="77777777" w:rsidTr="00F64E49">
        <w:trPr>
          <w:jc w:val="center"/>
        </w:trPr>
        <w:tc>
          <w:tcPr>
            <w:tcW w:w="720" w:type="dxa"/>
          </w:tcPr>
          <w:p w14:paraId="4EE6665D" w14:textId="77777777" w:rsidR="00983C25" w:rsidRDefault="00983C25" w:rsidP="00F64E49">
            <w:r>
              <w:t>25</w:t>
            </w:r>
          </w:p>
        </w:tc>
        <w:tc>
          <w:tcPr>
            <w:tcW w:w="720" w:type="dxa"/>
          </w:tcPr>
          <w:p w14:paraId="77F1D06E" w14:textId="77777777" w:rsidR="00983C25" w:rsidRDefault="00983C25" w:rsidP="00F64E49">
            <w:r>
              <w:t>26</w:t>
            </w:r>
          </w:p>
        </w:tc>
        <w:tc>
          <w:tcPr>
            <w:tcW w:w="720" w:type="dxa"/>
          </w:tcPr>
          <w:p w14:paraId="12D5F337" w14:textId="77777777" w:rsidR="00983C25" w:rsidRDefault="00983C25" w:rsidP="00F64E49">
            <w:r>
              <w:t>27</w:t>
            </w:r>
          </w:p>
        </w:tc>
        <w:tc>
          <w:tcPr>
            <w:tcW w:w="720" w:type="dxa"/>
          </w:tcPr>
          <w:p w14:paraId="34E04425" w14:textId="77777777" w:rsidR="00983C25" w:rsidRDefault="00983C25" w:rsidP="00F64E49">
            <w:r>
              <w:t>28</w:t>
            </w:r>
          </w:p>
        </w:tc>
        <w:tc>
          <w:tcPr>
            <w:tcW w:w="720" w:type="dxa"/>
          </w:tcPr>
          <w:p w14:paraId="1AA31E01" w14:textId="77777777" w:rsidR="00983C25" w:rsidRDefault="00983C25" w:rsidP="00F64E49">
            <w:r>
              <w:t>29</w:t>
            </w:r>
          </w:p>
        </w:tc>
        <w:tc>
          <w:tcPr>
            <w:tcW w:w="720" w:type="dxa"/>
          </w:tcPr>
          <w:p w14:paraId="7EC2C8AD" w14:textId="77777777" w:rsidR="00983C25" w:rsidRDefault="00983C25" w:rsidP="00F64E49">
            <w:r>
              <w:t>30</w:t>
            </w:r>
          </w:p>
        </w:tc>
        <w:tc>
          <w:tcPr>
            <w:tcW w:w="720" w:type="dxa"/>
          </w:tcPr>
          <w:p w14:paraId="11999D85" w14:textId="77777777" w:rsidR="00983C25" w:rsidRDefault="00983C25" w:rsidP="00F64E49">
            <w:r>
              <w:t>31</w:t>
            </w:r>
          </w:p>
        </w:tc>
      </w:tr>
    </w:tbl>
    <w:p w14:paraId="659F8EBA" w14:textId="77777777" w:rsidR="00983C25" w:rsidRPr="00D262DA" w:rsidRDefault="00983C25" w:rsidP="00983C25">
      <w:pPr>
        <w:pStyle w:val="NoSpacing"/>
        <w:rPr>
          <w:rFonts w:ascii="Baskerville Old Face" w:hAnsi="Baskerville Old Face"/>
          <w:sz w:val="28"/>
          <w:szCs w:val="28"/>
        </w:rPr>
      </w:pPr>
    </w:p>
    <w:sectPr w:rsidR="00983C25" w:rsidRPr="00D26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64E26"/>
    <w:multiLevelType w:val="hybridMultilevel"/>
    <w:tmpl w:val="141A6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8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37"/>
    <w:rsid w:val="000443BE"/>
    <w:rsid w:val="005F5F16"/>
    <w:rsid w:val="006E05EB"/>
    <w:rsid w:val="00817F37"/>
    <w:rsid w:val="00851091"/>
    <w:rsid w:val="00983C25"/>
    <w:rsid w:val="00A66B27"/>
    <w:rsid w:val="00A91B69"/>
    <w:rsid w:val="00AE210C"/>
    <w:rsid w:val="00D262DA"/>
    <w:rsid w:val="00E70F19"/>
    <w:rsid w:val="00F3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A8B4"/>
  <w15:chartTrackingRefBased/>
  <w15:docId w15:val="{B5532801-9341-4796-91C6-23D74362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25"/>
  </w:style>
  <w:style w:type="paragraph" w:styleId="Heading1">
    <w:name w:val="heading 1"/>
    <w:basedOn w:val="Normal"/>
    <w:next w:val="Normal"/>
    <w:link w:val="Heading1Char"/>
    <w:uiPriority w:val="9"/>
    <w:qFormat/>
    <w:rsid w:val="00817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37"/>
    <w:rPr>
      <w:rFonts w:eastAsiaTheme="majorEastAsia" w:cstheme="majorBidi"/>
      <w:color w:val="272727" w:themeColor="text1" w:themeTint="D8"/>
    </w:rPr>
  </w:style>
  <w:style w:type="paragraph" w:styleId="Title">
    <w:name w:val="Title"/>
    <w:basedOn w:val="Normal"/>
    <w:next w:val="Normal"/>
    <w:link w:val="TitleChar"/>
    <w:uiPriority w:val="10"/>
    <w:qFormat/>
    <w:rsid w:val="00817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37"/>
    <w:pPr>
      <w:spacing w:before="160"/>
      <w:jc w:val="center"/>
    </w:pPr>
    <w:rPr>
      <w:i/>
      <w:iCs/>
      <w:color w:val="404040" w:themeColor="text1" w:themeTint="BF"/>
    </w:rPr>
  </w:style>
  <w:style w:type="character" w:customStyle="1" w:styleId="QuoteChar">
    <w:name w:val="Quote Char"/>
    <w:basedOn w:val="DefaultParagraphFont"/>
    <w:link w:val="Quote"/>
    <w:uiPriority w:val="29"/>
    <w:rsid w:val="00817F37"/>
    <w:rPr>
      <w:i/>
      <w:iCs/>
      <w:color w:val="404040" w:themeColor="text1" w:themeTint="BF"/>
    </w:rPr>
  </w:style>
  <w:style w:type="paragraph" w:styleId="ListParagraph">
    <w:name w:val="List Paragraph"/>
    <w:basedOn w:val="Normal"/>
    <w:uiPriority w:val="34"/>
    <w:qFormat/>
    <w:rsid w:val="00817F37"/>
    <w:pPr>
      <w:ind w:left="720"/>
      <w:contextualSpacing/>
    </w:pPr>
  </w:style>
  <w:style w:type="character" w:styleId="IntenseEmphasis">
    <w:name w:val="Intense Emphasis"/>
    <w:basedOn w:val="DefaultParagraphFont"/>
    <w:uiPriority w:val="21"/>
    <w:qFormat/>
    <w:rsid w:val="00817F37"/>
    <w:rPr>
      <w:i/>
      <w:iCs/>
      <w:color w:val="0F4761" w:themeColor="accent1" w:themeShade="BF"/>
    </w:rPr>
  </w:style>
  <w:style w:type="paragraph" w:styleId="IntenseQuote">
    <w:name w:val="Intense Quote"/>
    <w:basedOn w:val="Normal"/>
    <w:next w:val="Normal"/>
    <w:link w:val="IntenseQuoteChar"/>
    <w:uiPriority w:val="30"/>
    <w:qFormat/>
    <w:rsid w:val="00817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F37"/>
    <w:rPr>
      <w:i/>
      <w:iCs/>
      <w:color w:val="0F4761" w:themeColor="accent1" w:themeShade="BF"/>
    </w:rPr>
  </w:style>
  <w:style w:type="character" w:styleId="IntenseReference">
    <w:name w:val="Intense Reference"/>
    <w:basedOn w:val="DefaultParagraphFont"/>
    <w:uiPriority w:val="32"/>
    <w:qFormat/>
    <w:rsid w:val="00817F37"/>
    <w:rPr>
      <w:b/>
      <w:bCs/>
      <w:smallCaps/>
      <w:color w:val="0F4761" w:themeColor="accent1" w:themeShade="BF"/>
      <w:spacing w:val="5"/>
    </w:rPr>
  </w:style>
  <w:style w:type="paragraph" w:styleId="NoSpacing">
    <w:name w:val="No Spacing"/>
    <w:uiPriority w:val="1"/>
    <w:qFormat/>
    <w:rsid w:val="00817F37"/>
    <w:pPr>
      <w:spacing w:after="0" w:line="240" w:lineRule="auto"/>
    </w:pPr>
  </w:style>
  <w:style w:type="table" w:customStyle="1" w:styleId="Calendar2">
    <w:name w:val="Calendar 2"/>
    <w:basedOn w:val="TableNormal"/>
    <w:uiPriority w:val="99"/>
    <w:qFormat/>
    <w:rsid w:val="00983C25"/>
    <w:pPr>
      <w:spacing w:after="0" w:line="240" w:lineRule="auto"/>
      <w:jc w:val="center"/>
    </w:pPr>
    <w:rPr>
      <w:rFonts w:eastAsiaTheme="minorEastAsia"/>
      <w:kern w:val="0"/>
      <w:sz w:val="28"/>
      <w:szCs w:val="28"/>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85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Othelo Williams</dc:creator>
  <cp:keywords/>
  <dc:description/>
  <cp:lastModifiedBy>Othelo Williams</cp:lastModifiedBy>
  <cp:revision>2</cp:revision>
  <dcterms:created xsi:type="dcterms:W3CDTF">2026-06-01T00:58:00Z</dcterms:created>
  <dcterms:modified xsi:type="dcterms:W3CDTF">2026-06-01T02:52:00Z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8adf37db-164f-4742-b83c-a33ac4319e5b</vt:lpwstr>
  </property>
</Properties>
</file>