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FA3BE" w14:textId="0CB76AFD" w:rsidR="00957E20" w:rsidRPr="00957E20" w:rsidRDefault="00957E20" w:rsidP="00957E20">
      <w:pPr>
        <w:tabs>
          <w:tab w:val="num" w:pos="720"/>
        </w:tabs>
        <w:spacing w:before="100" w:beforeAutospacing="1" w:after="100" w:afterAutospacing="1"/>
        <w:ind w:left="720" w:hanging="360"/>
        <w:jc w:val="center"/>
        <w:rPr>
          <w:b/>
          <w:bCs/>
          <w:sz w:val="40"/>
          <w:szCs w:val="40"/>
        </w:rPr>
      </w:pPr>
      <w:r w:rsidRPr="00957E20">
        <w:rPr>
          <w:b/>
          <w:bCs/>
          <w:sz w:val="40"/>
          <w:szCs w:val="40"/>
        </w:rPr>
        <w:t>PROJECT NOTES</w:t>
      </w:r>
    </w:p>
    <w:p w14:paraId="4ACE61D6" w14:textId="2D364D49" w:rsidR="00592C27" w:rsidRPr="00592C27" w:rsidRDefault="00592C27" w:rsidP="00592C27">
      <w:pPr>
        <w:numPr>
          <w:ilvl w:val="0"/>
          <w:numId w:val="1"/>
        </w:numPr>
        <w:spacing w:before="100" w:beforeAutospacing="1" w:after="100" w:afterAutospacing="1"/>
        <w:rPr>
          <w:rFonts w:ascii="Aptos" w:eastAsia="Times New Roman" w:hAnsi="Aptos" w:cs="Times New Roman"/>
          <w:color w:val="000000"/>
          <w:kern w:val="0"/>
          <w:sz w:val="22"/>
          <w:szCs w:val="22"/>
          <w14:ligatures w14:val="none"/>
        </w:rPr>
      </w:pPr>
      <w:r>
        <w:rPr>
          <w:rFonts w:ascii="Aptos" w:eastAsia="Times New Roman" w:hAnsi="Aptos" w:cs="Times New Roman"/>
          <w:color w:val="000000"/>
          <w:kern w:val="0"/>
          <w:sz w:val="22"/>
          <w:szCs w:val="22"/>
          <w14:ligatures w14:val="none"/>
        </w:rPr>
        <w:t>P</w:t>
      </w:r>
      <w:r w:rsidRPr="00592C27">
        <w:rPr>
          <w:rFonts w:ascii="Aptos" w:eastAsia="Times New Roman" w:hAnsi="Aptos" w:cs="Times New Roman"/>
          <w:color w:val="000000"/>
          <w:kern w:val="0"/>
          <w:sz w:val="22"/>
          <w:szCs w:val="22"/>
          <w14:ligatures w14:val="none"/>
        </w:rPr>
        <w:t xml:space="preserve">roperty is 0.3 miles </w:t>
      </w:r>
      <w:r>
        <w:rPr>
          <w:rFonts w:ascii="Aptos" w:eastAsia="Times New Roman" w:hAnsi="Aptos" w:cs="Times New Roman"/>
          <w:color w:val="000000"/>
          <w:kern w:val="0"/>
          <w:sz w:val="22"/>
          <w:szCs w:val="22"/>
          <w14:ligatures w14:val="none"/>
        </w:rPr>
        <w:t xml:space="preserve">(7 minutes walking) </w:t>
      </w:r>
      <w:r w:rsidRPr="00592C27">
        <w:rPr>
          <w:rFonts w:ascii="Aptos" w:eastAsia="Times New Roman" w:hAnsi="Aptos" w:cs="Times New Roman"/>
          <w:color w:val="000000"/>
          <w:kern w:val="0"/>
          <w:sz w:val="22"/>
          <w:szCs w:val="22"/>
          <w14:ligatures w14:val="none"/>
        </w:rPr>
        <w:t xml:space="preserve">from the entrance of the Lynnwood Transit Center. See </w:t>
      </w:r>
      <w:r>
        <w:rPr>
          <w:rFonts w:ascii="Aptos" w:eastAsia="Times New Roman" w:hAnsi="Aptos" w:cs="Times New Roman"/>
          <w:color w:val="000000"/>
          <w:kern w:val="0"/>
          <w:sz w:val="22"/>
          <w:szCs w:val="22"/>
          <w14:ligatures w14:val="none"/>
        </w:rPr>
        <w:t xml:space="preserve">map </w:t>
      </w:r>
      <w:r w:rsidRPr="00592C27">
        <w:rPr>
          <w:rFonts w:ascii="Aptos" w:eastAsia="Times New Roman" w:hAnsi="Aptos" w:cs="Times New Roman"/>
          <w:color w:val="000000"/>
          <w:kern w:val="0"/>
          <w:sz w:val="22"/>
          <w:szCs w:val="22"/>
          <w14:ligatures w14:val="none"/>
        </w:rPr>
        <w:t>below.</w:t>
      </w:r>
    </w:p>
    <w:p w14:paraId="6A8C23EF" w14:textId="77777777" w:rsidR="00592C27" w:rsidRPr="00592C27" w:rsidRDefault="00592C27" w:rsidP="00592C27">
      <w:pPr>
        <w:numPr>
          <w:ilvl w:val="0"/>
          <w:numId w:val="1"/>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Under Washington State's HB 1110, Lynnwood may waive the parking requirements if the property is within a half-mile of a Major Transit Stop. See below.</w:t>
      </w:r>
    </w:p>
    <w:p w14:paraId="1D4B75D2" w14:textId="77777777" w:rsidR="00592C27" w:rsidRPr="00592C27" w:rsidRDefault="00592C27" w:rsidP="00592C27">
      <w:pPr>
        <w:numPr>
          <w:ilvl w:val="0"/>
          <w:numId w:val="1"/>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Opportunity Zone tax incentive (my Lynnwood property is in the Opportunity Zone):</w:t>
      </w:r>
    </w:p>
    <w:p w14:paraId="72F3C5A3" w14:textId="77777777" w:rsidR="00592C27" w:rsidRPr="00592C27" w:rsidRDefault="00592C27" w:rsidP="00592C27">
      <w:pPr>
        <w:numPr>
          <w:ilvl w:val="1"/>
          <w:numId w:val="1"/>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u w:val="single"/>
          <w14:ligatures w14:val="none"/>
        </w:rPr>
        <w:t>Deferral of Capital Gains Tax</w:t>
      </w:r>
      <w:r w:rsidRPr="00592C27">
        <w:rPr>
          <w:rFonts w:ascii="Aptos" w:eastAsia="Times New Roman" w:hAnsi="Aptos" w:cs="Times New Roman"/>
          <w:color w:val="000000"/>
          <w:kern w:val="0"/>
          <w:sz w:val="22"/>
          <w:szCs w:val="22"/>
          <w14:ligatures w14:val="none"/>
        </w:rPr>
        <w:t>: Investors can defer paying taxes on capital gains if they reinvest those gains into an Opportunity Fund, which is a private investment vehicle that invests in eligible properties located in Opportunity Zones. The deferral is until 12/31/2026 or until the property is sold, whichever is sooner.</w:t>
      </w:r>
    </w:p>
    <w:p w14:paraId="0CF201F1" w14:textId="77777777" w:rsidR="00592C27" w:rsidRPr="00592C27" w:rsidRDefault="00592C27" w:rsidP="00592C27">
      <w:pPr>
        <w:numPr>
          <w:ilvl w:val="1"/>
          <w:numId w:val="1"/>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u w:val="single"/>
          <w14:ligatures w14:val="none"/>
        </w:rPr>
        <w:t>Reduction of Capital Gains Tax</w:t>
      </w:r>
      <w:r w:rsidRPr="00592C27">
        <w:rPr>
          <w:rFonts w:ascii="Aptos" w:eastAsia="Times New Roman" w:hAnsi="Aptos" w:cs="Times New Roman"/>
          <w:color w:val="000000"/>
          <w:kern w:val="0"/>
          <w:sz w:val="22"/>
          <w:szCs w:val="22"/>
          <w14:ligatures w14:val="none"/>
        </w:rPr>
        <w:t>: If the investment in the Opportunity Fund is held for at least five years, investors can reduce the amount of capital gains subject to tax by 10%. If held for seven years, this reduction increases to 15%.</w:t>
      </w:r>
    </w:p>
    <w:p w14:paraId="3B413A77" w14:textId="77777777" w:rsidR="00592C27" w:rsidRPr="00592C27" w:rsidRDefault="00592C27" w:rsidP="00592C27">
      <w:pPr>
        <w:numPr>
          <w:ilvl w:val="1"/>
          <w:numId w:val="1"/>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u w:val="single"/>
          <w14:ligatures w14:val="none"/>
        </w:rPr>
        <w:t>Exclusion of Gains from Qualified Investments</w:t>
      </w:r>
      <w:r w:rsidRPr="00592C27">
        <w:rPr>
          <w:rFonts w:ascii="Aptos" w:eastAsia="Times New Roman" w:hAnsi="Aptos" w:cs="Times New Roman"/>
          <w:color w:val="000000"/>
          <w:kern w:val="0"/>
          <w:sz w:val="22"/>
          <w:szCs w:val="22"/>
          <w14:ligatures w14:val="none"/>
        </w:rPr>
        <w:t>: If the investor holds the Opportunity Fund investment for at least ten years, they can exclude any additional gains from the Opportunity Fund investment from taxes.</w:t>
      </w:r>
    </w:p>
    <w:p w14:paraId="506CBEBF" w14:textId="77777777" w:rsidR="00592C27" w:rsidRPr="00592C27" w:rsidRDefault="00592C27" w:rsidP="00592C27">
      <w:pPr>
        <w:numPr>
          <w:ilvl w:val="1"/>
          <w:numId w:val="1"/>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See the link. </w:t>
      </w:r>
      <w:hyperlink r:id="rId7" w:tooltip="https://www.irs.gov/credits-deductions/businesses/opportunity-zones" w:history="1">
        <w:r w:rsidRPr="00592C27">
          <w:rPr>
            <w:rFonts w:ascii="Aptos" w:eastAsia="Times New Roman" w:hAnsi="Aptos" w:cs="Times New Roman"/>
            <w:color w:val="0078D7"/>
            <w:kern w:val="0"/>
            <w:sz w:val="22"/>
            <w:szCs w:val="22"/>
            <w:u w:val="single"/>
            <w14:ligatures w14:val="none"/>
          </w:rPr>
          <w:t>https://www.irs.gov/credits-deductions/businesses/opportunity-zones</w:t>
        </w:r>
      </w:hyperlink>
      <w:r w:rsidRPr="00592C27">
        <w:rPr>
          <w:rFonts w:ascii="Aptos" w:eastAsia="Times New Roman" w:hAnsi="Aptos" w:cs="Times New Roman"/>
          <w:color w:val="000000"/>
          <w:kern w:val="0"/>
          <w:sz w:val="22"/>
          <w:szCs w:val="22"/>
          <w14:ligatures w14:val="none"/>
        </w:rPr>
        <w:t> </w:t>
      </w:r>
    </w:p>
    <w:p w14:paraId="76DE8538" w14:textId="77777777" w:rsidR="00592C27" w:rsidRPr="00592C27" w:rsidRDefault="00592C27" w:rsidP="00592C27">
      <w:pPr>
        <w:numPr>
          <w:ilvl w:val="0"/>
          <w:numId w:val="1"/>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Community Development Loan Fund. This is a program that Heritage Bank offers in conjunction with the government to promote the development in economically stressed areas. My property is included in the area. </w:t>
      </w:r>
    </w:p>
    <w:p w14:paraId="51A99B65" w14:textId="77777777" w:rsidR="00592C27" w:rsidRPr="00592C27" w:rsidRDefault="00592C27" w:rsidP="00592C27">
      <w:pPr>
        <w:numPr>
          <w:ilvl w:val="1"/>
          <w:numId w:val="2"/>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Offers a below-market interest rate</w:t>
      </w:r>
    </w:p>
    <w:p w14:paraId="72BB5AAA" w14:textId="77777777" w:rsidR="00592C27" w:rsidRPr="00592C27" w:rsidRDefault="00592C27" w:rsidP="00592C27">
      <w:pPr>
        <w:numPr>
          <w:ilvl w:val="1"/>
          <w:numId w:val="2"/>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7-year loans of interest-only payments</w:t>
      </w:r>
    </w:p>
    <w:p w14:paraId="189217F5" w14:textId="77777777" w:rsidR="00592C27" w:rsidRPr="00592C27" w:rsidRDefault="00592C27" w:rsidP="00592C27">
      <w:pPr>
        <w:numPr>
          <w:ilvl w:val="1"/>
          <w:numId w:val="2"/>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Etc. </w:t>
      </w:r>
    </w:p>
    <w:p w14:paraId="37ADD092" w14:textId="77777777" w:rsidR="00592C27" w:rsidRPr="00592C27" w:rsidRDefault="00592C27" w:rsidP="00592C27">
      <w:pPr>
        <w:numPr>
          <w:ilvl w:val="1"/>
          <w:numId w:val="2"/>
        </w:numPr>
        <w:spacing w:before="100" w:beforeAutospacing="1" w:after="100" w:afterAutospacing="1"/>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t>See attached.</w:t>
      </w:r>
    </w:p>
    <w:p w14:paraId="22273E38" w14:textId="471E86A2" w:rsidR="00592C27" w:rsidRPr="00592C27" w:rsidRDefault="00592C27" w:rsidP="00957E20">
      <w:pPr>
        <w:jc w:val="center"/>
        <w:rPr>
          <w:rFonts w:ascii="Aptos" w:eastAsia="Times New Roman" w:hAnsi="Aptos" w:cs="Times New Roman"/>
          <w:color w:val="000000"/>
          <w:kern w:val="0"/>
          <w:sz w:val="22"/>
          <w:szCs w:val="22"/>
          <w14:ligatures w14:val="none"/>
        </w:rPr>
      </w:pPr>
      <w:r w:rsidRPr="00592C27">
        <w:rPr>
          <w:rFonts w:ascii="Aptos" w:eastAsia="Times New Roman" w:hAnsi="Aptos" w:cs="Times New Roman"/>
          <w:color w:val="000000"/>
          <w:kern w:val="0"/>
          <w:sz w:val="22"/>
          <w:szCs w:val="22"/>
          <w14:ligatures w14:val="none"/>
        </w:rPr>
        <w:lastRenderedPageBreak/>
        <w:fldChar w:fldCharType="begin"/>
      </w:r>
      <w:r w:rsidRPr="00592C27">
        <w:rPr>
          <w:rFonts w:ascii="Aptos" w:eastAsia="Times New Roman" w:hAnsi="Aptos" w:cs="Times New Roman"/>
          <w:color w:val="000000"/>
          <w:kern w:val="0"/>
          <w:sz w:val="22"/>
          <w:szCs w:val="22"/>
          <w14:ligatures w14:val="none"/>
        </w:rPr>
        <w:instrText xml:space="preserve"> INCLUDEPICTURE "/Users/jackmalek/Library/Group Containers/UBF8T346G9.ms/WebArchiveCopyPasteTempFiles/com.microsoft.Word/cid1599090829*b7d82003-b1a3-4279-9566-2701c01e69d8" \* MERGEFORMATINET </w:instrText>
      </w:r>
      <w:r w:rsidRPr="00592C27">
        <w:rPr>
          <w:rFonts w:ascii="Aptos" w:eastAsia="Times New Roman" w:hAnsi="Aptos" w:cs="Times New Roman"/>
          <w:color w:val="000000"/>
          <w:kern w:val="0"/>
          <w:sz w:val="22"/>
          <w:szCs w:val="22"/>
          <w14:ligatures w14:val="none"/>
        </w:rPr>
        <w:fldChar w:fldCharType="separate"/>
      </w:r>
      <w:r w:rsidRPr="00592C27">
        <w:rPr>
          <w:rFonts w:ascii="Aptos" w:eastAsia="Times New Roman" w:hAnsi="Aptos" w:cs="Times New Roman"/>
          <w:noProof/>
          <w:color w:val="000000"/>
          <w:kern w:val="0"/>
          <w:sz w:val="22"/>
          <w:szCs w:val="22"/>
          <w14:ligatures w14:val="none"/>
        </w:rPr>
        <w:drawing>
          <wp:inline distT="0" distB="0" distL="0" distR="0" wp14:anchorId="6F7085EA" wp14:editId="6600C8A6">
            <wp:extent cx="3909695" cy="7070725"/>
            <wp:effectExtent l="0" t="0" r="1905" b="3175"/>
            <wp:docPr id="200378837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image_0"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9695" cy="7070725"/>
                    </a:xfrm>
                    <a:prstGeom prst="rect">
                      <a:avLst/>
                    </a:prstGeom>
                    <a:noFill/>
                    <a:ln>
                      <a:noFill/>
                    </a:ln>
                  </pic:spPr>
                </pic:pic>
              </a:graphicData>
            </a:graphic>
          </wp:inline>
        </w:drawing>
      </w:r>
      <w:r w:rsidRPr="00592C27">
        <w:rPr>
          <w:rFonts w:ascii="Aptos" w:eastAsia="Times New Roman" w:hAnsi="Aptos" w:cs="Times New Roman"/>
          <w:color w:val="000000"/>
          <w:kern w:val="0"/>
          <w:sz w:val="22"/>
          <w:szCs w:val="22"/>
          <w14:ligatures w14:val="none"/>
        </w:rPr>
        <w:fldChar w:fldCharType="end"/>
      </w:r>
    </w:p>
    <w:p w14:paraId="3166AF44" w14:textId="77777777" w:rsidR="00074F9A" w:rsidRDefault="00074F9A"/>
    <w:p w14:paraId="2BAAC375" w14:textId="77777777" w:rsidR="00061AA5" w:rsidRDefault="00061AA5"/>
    <w:p w14:paraId="4CD41802" w14:textId="77777777" w:rsidR="00061AA5" w:rsidRDefault="00061AA5"/>
    <w:p w14:paraId="31174602" w14:textId="77777777" w:rsidR="00061AA5" w:rsidRDefault="00061AA5"/>
    <w:p w14:paraId="52933D9C" w14:textId="77777777" w:rsidR="00061AA5" w:rsidRDefault="00061AA5"/>
    <w:p w14:paraId="67E7C376" w14:textId="77777777" w:rsidR="00061AA5" w:rsidRDefault="00061AA5"/>
    <w:p w14:paraId="461F6DAC" w14:textId="23DA1C2A" w:rsidR="002F64F3" w:rsidRPr="002F64F3" w:rsidRDefault="00061AA5" w:rsidP="002F64F3">
      <w:pPr>
        <w:pStyle w:val="xmsonormal"/>
        <w:spacing w:before="0" w:beforeAutospacing="0" w:after="0" w:afterAutospacing="0"/>
        <w:rPr>
          <w:rFonts w:ascii="Aptos" w:hAnsi="Aptos"/>
          <w:color w:val="212121"/>
          <w:sz w:val="20"/>
          <w:szCs w:val="20"/>
        </w:rPr>
      </w:pPr>
      <w:r w:rsidRPr="002F64F3">
        <w:rPr>
          <w:rFonts w:ascii="Avenir Next World" w:hAnsi="Avenir Next World"/>
          <w:color w:val="1F355E"/>
          <w:sz w:val="20"/>
          <w:szCs w:val="20"/>
        </w:rPr>
        <w:t xml:space="preserve">The </w:t>
      </w:r>
      <w:r w:rsidRPr="002F64F3">
        <w:rPr>
          <w:rFonts w:ascii="Avenir Next World" w:hAnsi="Avenir Next World"/>
          <w:b/>
          <w:bCs/>
          <w:color w:val="1F355E"/>
          <w:sz w:val="20"/>
          <w:szCs w:val="20"/>
        </w:rPr>
        <w:t>Planned Commercial Development (PCD) zone</w:t>
      </w:r>
      <w:r w:rsidRPr="002F64F3">
        <w:rPr>
          <w:rFonts w:ascii="Avenir Next World" w:hAnsi="Avenir Next World"/>
          <w:color w:val="1F355E"/>
          <w:sz w:val="20"/>
          <w:szCs w:val="20"/>
        </w:rPr>
        <w:t xml:space="preserve"> is an existing zone that will be reformatted.  The PCD zone is focused on commercial and mixed-use residential development and makes up the remaining portions of the Regional Growth Center (RGC). The PCD zone is intended to allow and encourage commercial development of contiguous parcels under multiple ownership, while allowing for potential residential development. </w:t>
      </w:r>
      <w:r w:rsidR="002F64F3" w:rsidRPr="002F64F3">
        <w:rPr>
          <w:rFonts w:ascii="Avenir Next World" w:hAnsi="Avenir Next World"/>
          <w:color w:val="1F355E"/>
          <w:sz w:val="20"/>
          <w:szCs w:val="20"/>
        </w:rPr>
        <w:t xml:space="preserve">Click Link: </w:t>
      </w:r>
      <w:hyperlink r:id="rId9" w:history="1">
        <w:r w:rsidR="002F64F3" w:rsidRPr="002F64F3">
          <w:rPr>
            <w:rStyle w:val="Hyperlink"/>
            <w:rFonts w:ascii="Aptos" w:eastAsiaTheme="majorEastAsia" w:hAnsi="Aptos"/>
            <w:sz w:val="20"/>
            <w:szCs w:val="20"/>
          </w:rPr>
          <w:t>https://arcg.is/1qDuGP2</w:t>
        </w:r>
      </w:hyperlink>
    </w:p>
    <w:p w14:paraId="3EBF41B7" w14:textId="77777777" w:rsidR="002F64F3" w:rsidRPr="002F64F3" w:rsidRDefault="002F64F3" w:rsidP="002F64F3">
      <w:pPr>
        <w:pStyle w:val="xmsonormal"/>
        <w:spacing w:before="0" w:beforeAutospacing="0" w:after="0" w:afterAutospacing="0"/>
        <w:rPr>
          <w:rFonts w:ascii="Aptos" w:hAnsi="Aptos"/>
          <w:color w:val="212121"/>
          <w:sz w:val="16"/>
          <w:szCs w:val="16"/>
        </w:rPr>
      </w:pPr>
      <w:r w:rsidRPr="002F64F3">
        <w:rPr>
          <w:rFonts w:ascii="Aptos" w:hAnsi="Aptos"/>
          <w:color w:val="212121"/>
          <w:sz w:val="16"/>
          <w:szCs w:val="16"/>
        </w:rPr>
        <w:t> </w:t>
      </w:r>
    </w:p>
    <w:p w14:paraId="6E71F70E" w14:textId="33A1F90E" w:rsidR="00061AA5" w:rsidRDefault="00763AF0">
      <w:r>
        <w:rPr>
          <w:noProof/>
        </w:rPr>
        <w:drawing>
          <wp:inline distT="0" distB="0" distL="0" distR="0" wp14:anchorId="67DC5305" wp14:editId="7265A180">
            <wp:extent cx="5943600" cy="5447030"/>
            <wp:effectExtent l="0" t="0" r="0" b="1270"/>
            <wp:docPr id="553525303" name="Picture 3"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25303" name="Picture 3" descr="A map of a cit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5447030"/>
                    </a:xfrm>
                    <a:prstGeom prst="rect">
                      <a:avLst/>
                    </a:prstGeom>
                  </pic:spPr>
                </pic:pic>
              </a:graphicData>
            </a:graphic>
          </wp:inline>
        </w:drawing>
      </w:r>
    </w:p>
    <w:sectPr w:rsidR="00061A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1497C9" w14:textId="77777777" w:rsidR="001222CC" w:rsidRDefault="001222CC" w:rsidP="00957E20">
      <w:r>
        <w:separator/>
      </w:r>
    </w:p>
  </w:endnote>
  <w:endnote w:type="continuationSeparator" w:id="0">
    <w:p w14:paraId="42D56C66" w14:textId="77777777" w:rsidR="001222CC" w:rsidRDefault="001222CC" w:rsidP="00957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venir Next World">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E7226" w14:textId="6A42C0E1" w:rsidR="00957E20" w:rsidRDefault="00957E20" w:rsidP="00957E20">
    <w:pPr>
      <w:pStyle w:val="Footer"/>
      <w:jc w:val="center"/>
    </w:pPr>
    <w:r>
      <w:t>Jack Malek, Managing Broker</w:t>
    </w:r>
  </w:p>
  <w:p w14:paraId="5DA20B12" w14:textId="198EB5EA" w:rsidR="00957E20" w:rsidRDefault="00957E20" w:rsidP="00957E20">
    <w:pPr>
      <w:pStyle w:val="Footer"/>
      <w:jc w:val="center"/>
    </w:pPr>
    <w:r>
      <w:t>311 N. 85</w:t>
    </w:r>
    <w:r w:rsidRPr="00957E20">
      <w:rPr>
        <w:vertAlign w:val="superscript"/>
      </w:rPr>
      <w:t>th</w:t>
    </w:r>
    <w:r>
      <w:t xml:space="preserve"> St | Seattle, WA 98103</w:t>
    </w:r>
  </w:p>
  <w:p w14:paraId="0A1399AA" w14:textId="020B8248" w:rsidR="00957E20" w:rsidRDefault="00957E20" w:rsidP="00957E20">
    <w:pPr>
      <w:pStyle w:val="Footer"/>
      <w:jc w:val="center"/>
    </w:pPr>
    <w:r>
      <w:t>(206) 498-2189 | jmalek@windermere.com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0C175" w14:textId="77777777" w:rsidR="001222CC" w:rsidRDefault="001222CC" w:rsidP="00957E20">
      <w:r>
        <w:separator/>
      </w:r>
    </w:p>
  </w:footnote>
  <w:footnote w:type="continuationSeparator" w:id="0">
    <w:p w14:paraId="23A8CC6B" w14:textId="77777777" w:rsidR="001222CC" w:rsidRDefault="001222CC" w:rsidP="00957E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91BDA" w14:textId="39E5F2D7" w:rsidR="00957E20" w:rsidRDefault="00957E20" w:rsidP="00957E20">
    <w:pPr>
      <w:pStyle w:val="Header"/>
      <w:jc w:val="center"/>
    </w:pPr>
    <w:r>
      <w:rPr>
        <w:noProof/>
      </w:rPr>
      <w:drawing>
        <wp:inline distT="0" distB="0" distL="0" distR="0" wp14:anchorId="45A1F8DF" wp14:editId="4D67E582">
          <wp:extent cx="2019300" cy="1022378"/>
          <wp:effectExtent l="0" t="0" r="0" b="0"/>
          <wp:docPr id="168226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267162" name="Picture 1682267162"/>
                  <pic:cNvPicPr/>
                </pic:nvPicPr>
                <pic:blipFill>
                  <a:blip r:embed="rId1">
                    <a:extLst>
                      <a:ext uri="{28A0092B-C50C-407E-A947-70E740481C1C}">
                        <a14:useLocalDpi xmlns:a14="http://schemas.microsoft.com/office/drawing/2010/main" val="0"/>
                      </a:ext>
                    </a:extLst>
                  </a:blip>
                  <a:stretch>
                    <a:fillRect/>
                  </a:stretch>
                </pic:blipFill>
                <pic:spPr>
                  <a:xfrm>
                    <a:off x="0" y="0"/>
                    <a:ext cx="2065309" cy="104567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8273C5"/>
    <w:multiLevelType w:val="multilevel"/>
    <w:tmpl w:val="42447B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67799131">
    <w:abstractNumId w:val="0"/>
  </w:num>
  <w:num w:numId="2" w16cid:durableId="658002779">
    <w:abstractNumId w:val="0"/>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C27"/>
    <w:rsid w:val="00061AA5"/>
    <w:rsid w:val="00074F9A"/>
    <w:rsid w:val="001222CC"/>
    <w:rsid w:val="0020424E"/>
    <w:rsid w:val="002F64F3"/>
    <w:rsid w:val="00592C27"/>
    <w:rsid w:val="00624A06"/>
    <w:rsid w:val="00763AF0"/>
    <w:rsid w:val="00957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33D1134"/>
  <w15:chartTrackingRefBased/>
  <w15:docId w15:val="{9035276D-123D-5D44-87E2-4CC1B2424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2C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92C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92C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92C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92C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92C2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2C2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2C2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2C2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2C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92C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92C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92C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92C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92C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2C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2C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2C27"/>
    <w:rPr>
      <w:rFonts w:eastAsiaTheme="majorEastAsia" w:cstheme="majorBidi"/>
      <w:color w:val="272727" w:themeColor="text1" w:themeTint="D8"/>
    </w:rPr>
  </w:style>
  <w:style w:type="paragraph" w:styleId="Title">
    <w:name w:val="Title"/>
    <w:basedOn w:val="Normal"/>
    <w:next w:val="Normal"/>
    <w:link w:val="TitleChar"/>
    <w:uiPriority w:val="10"/>
    <w:qFormat/>
    <w:rsid w:val="00592C2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2C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2C2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2C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2C2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92C27"/>
    <w:rPr>
      <w:i/>
      <w:iCs/>
      <w:color w:val="404040" w:themeColor="text1" w:themeTint="BF"/>
    </w:rPr>
  </w:style>
  <w:style w:type="paragraph" w:styleId="ListParagraph">
    <w:name w:val="List Paragraph"/>
    <w:basedOn w:val="Normal"/>
    <w:uiPriority w:val="34"/>
    <w:qFormat/>
    <w:rsid w:val="00592C27"/>
    <w:pPr>
      <w:ind w:left="720"/>
      <w:contextualSpacing/>
    </w:pPr>
  </w:style>
  <w:style w:type="character" w:styleId="IntenseEmphasis">
    <w:name w:val="Intense Emphasis"/>
    <w:basedOn w:val="DefaultParagraphFont"/>
    <w:uiPriority w:val="21"/>
    <w:qFormat/>
    <w:rsid w:val="00592C27"/>
    <w:rPr>
      <w:i/>
      <w:iCs/>
      <w:color w:val="0F4761" w:themeColor="accent1" w:themeShade="BF"/>
    </w:rPr>
  </w:style>
  <w:style w:type="paragraph" w:styleId="IntenseQuote">
    <w:name w:val="Intense Quote"/>
    <w:basedOn w:val="Normal"/>
    <w:next w:val="Normal"/>
    <w:link w:val="IntenseQuoteChar"/>
    <w:uiPriority w:val="30"/>
    <w:qFormat/>
    <w:rsid w:val="00592C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92C27"/>
    <w:rPr>
      <w:i/>
      <w:iCs/>
      <w:color w:val="0F4761" w:themeColor="accent1" w:themeShade="BF"/>
    </w:rPr>
  </w:style>
  <w:style w:type="character" w:styleId="IntenseReference">
    <w:name w:val="Intense Reference"/>
    <w:basedOn w:val="DefaultParagraphFont"/>
    <w:uiPriority w:val="32"/>
    <w:qFormat/>
    <w:rsid w:val="00592C27"/>
    <w:rPr>
      <w:b/>
      <w:bCs/>
      <w:smallCaps/>
      <w:color w:val="0F4761" w:themeColor="accent1" w:themeShade="BF"/>
      <w:spacing w:val="5"/>
    </w:rPr>
  </w:style>
  <w:style w:type="character" w:customStyle="1" w:styleId="apple-converted-space">
    <w:name w:val="apple-converted-space"/>
    <w:basedOn w:val="DefaultParagraphFont"/>
    <w:rsid w:val="00592C27"/>
  </w:style>
  <w:style w:type="character" w:styleId="Hyperlink">
    <w:name w:val="Hyperlink"/>
    <w:basedOn w:val="DefaultParagraphFont"/>
    <w:uiPriority w:val="99"/>
    <w:unhideWhenUsed/>
    <w:rsid w:val="00592C27"/>
    <w:rPr>
      <w:color w:val="0000FF"/>
      <w:u w:val="single"/>
    </w:rPr>
  </w:style>
  <w:style w:type="paragraph" w:customStyle="1" w:styleId="jsx-1958150846">
    <w:name w:val="jsx-1958150846"/>
    <w:basedOn w:val="Normal"/>
    <w:rsid w:val="00061AA5"/>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061AA5"/>
    <w:rPr>
      <w:b/>
      <w:bCs/>
    </w:rPr>
  </w:style>
  <w:style w:type="paragraph" w:customStyle="1" w:styleId="xmsonormal">
    <w:name w:val="x_msonormal"/>
    <w:basedOn w:val="Normal"/>
    <w:rsid w:val="002F64F3"/>
    <w:pPr>
      <w:spacing w:before="100" w:beforeAutospacing="1" w:after="100" w:afterAutospacing="1"/>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2F64F3"/>
    <w:rPr>
      <w:color w:val="605E5C"/>
      <w:shd w:val="clear" w:color="auto" w:fill="E1DFDD"/>
    </w:rPr>
  </w:style>
  <w:style w:type="paragraph" w:styleId="Header">
    <w:name w:val="header"/>
    <w:basedOn w:val="Normal"/>
    <w:link w:val="HeaderChar"/>
    <w:uiPriority w:val="99"/>
    <w:unhideWhenUsed/>
    <w:rsid w:val="00957E20"/>
    <w:pPr>
      <w:tabs>
        <w:tab w:val="center" w:pos="4680"/>
        <w:tab w:val="right" w:pos="9360"/>
      </w:tabs>
    </w:pPr>
  </w:style>
  <w:style w:type="character" w:customStyle="1" w:styleId="HeaderChar">
    <w:name w:val="Header Char"/>
    <w:basedOn w:val="DefaultParagraphFont"/>
    <w:link w:val="Header"/>
    <w:uiPriority w:val="99"/>
    <w:rsid w:val="00957E20"/>
  </w:style>
  <w:style w:type="paragraph" w:styleId="Footer">
    <w:name w:val="footer"/>
    <w:basedOn w:val="Normal"/>
    <w:link w:val="FooterChar"/>
    <w:uiPriority w:val="99"/>
    <w:unhideWhenUsed/>
    <w:rsid w:val="00957E20"/>
    <w:pPr>
      <w:tabs>
        <w:tab w:val="center" w:pos="4680"/>
        <w:tab w:val="right" w:pos="9360"/>
      </w:tabs>
    </w:pPr>
  </w:style>
  <w:style w:type="character" w:customStyle="1" w:styleId="FooterChar">
    <w:name w:val="Footer Char"/>
    <w:basedOn w:val="DefaultParagraphFont"/>
    <w:link w:val="Footer"/>
    <w:uiPriority w:val="99"/>
    <w:rsid w:val="00957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8904742">
      <w:bodyDiv w:val="1"/>
      <w:marLeft w:val="0"/>
      <w:marRight w:val="0"/>
      <w:marTop w:val="0"/>
      <w:marBottom w:val="0"/>
      <w:divBdr>
        <w:top w:val="none" w:sz="0" w:space="0" w:color="auto"/>
        <w:left w:val="none" w:sz="0" w:space="0" w:color="auto"/>
        <w:bottom w:val="none" w:sz="0" w:space="0" w:color="auto"/>
        <w:right w:val="none" w:sz="0" w:space="0" w:color="auto"/>
      </w:divBdr>
      <w:divsChild>
        <w:div w:id="1765688049">
          <w:marLeft w:val="0"/>
          <w:marRight w:val="0"/>
          <w:marTop w:val="0"/>
          <w:marBottom w:val="0"/>
          <w:divBdr>
            <w:top w:val="none" w:sz="0" w:space="0" w:color="auto"/>
            <w:left w:val="none" w:sz="0" w:space="0" w:color="auto"/>
            <w:bottom w:val="none" w:sz="0" w:space="0" w:color="auto"/>
            <w:right w:val="none" w:sz="0" w:space="0" w:color="auto"/>
          </w:divBdr>
        </w:div>
        <w:div w:id="918909178">
          <w:marLeft w:val="0"/>
          <w:marRight w:val="0"/>
          <w:marTop w:val="0"/>
          <w:marBottom w:val="0"/>
          <w:divBdr>
            <w:top w:val="none" w:sz="0" w:space="0" w:color="auto"/>
            <w:left w:val="none" w:sz="0" w:space="0" w:color="auto"/>
            <w:bottom w:val="none" w:sz="0" w:space="0" w:color="auto"/>
            <w:right w:val="none" w:sz="0" w:space="0" w:color="auto"/>
          </w:divBdr>
        </w:div>
        <w:div w:id="1320770130">
          <w:marLeft w:val="0"/>
          <w:marRight w:val="0"/>
          <w:marTop w:val="0"/>
          <w:marBottom w:val="0"/>
          <w:divBdr>
            <w:top w:val="none" w:sz="0" w:space="0" w:color="auto"/>
            <w:left w:val="none" w:sz="0" w:space="0" w:color="auto"/>
            <w:bottom w:val="none" w:sz="0" w:space="0" w:color="auto"/>
            <w:right w:val="none" w:sz="0" w:space="0" w:color="auto"/>
          </w:divBdr>
        </w:div>
        <w:div w:id="576791201">
          <w:marLeft w:val="0"/>
          <w:marRight w:val="0"/>
          <w:marTop w:val="0"/>
          <w:marBottom w:val="0"/>
          <w:divBdr>
            <w:top w:val="none" w:sz="0" w:space="0" w:color="auto"/>
            <w:left w:val="none" w:sz="0" w:space="0" w:color="auto"/>
            <w:bottom w:val="none" w:sz="0" w:space="0" w:color="auto"/>
            <w:right w:val="none" w:sz="0" w:space="0" w:color="auto"/>
          </w:divBdr>
        </w:div>
        <w:div w:id="47806309">
          <w:marLeft w:val="0"/>
          <w:marRight w:val="0"/>
          <w:marTop w:val="0"/>
          <w:marBottom w:val="0"/>
          <w:divBdr>
            <w:top w:val="none" w:sz="0" w:space="0" w:color="auto"/>
            <w:left w:val="none" w:sz="0" w:space="0" w:color="auto"/>
            <w:bottom w:val="none" w:sz="0" w:space="0" w:color="auto"/>
            <w:right w:val="none" w:sz="0" w:space="0" w:color="auto"/>
          </w:divBdr>
        </w:div>
        <w:div w:id="2056349308">
          <w:marLeft w:val="0"/>
          <w:marRight w:val="0"/>
          <w:marTop w:val="0"/>
          <w:marBottom w:val="0"/>
          <w:divBdr>
            <w:top w:val="none" w:sz="0" w:space="0" w:color="auto"/>
            <w:left w:val="none" w:sz="0" w:space="0" w:color="auto"/>
            <w:bottom w:val="none" w:sz="0" w:space="0" w:color="auto"/>
            <w:right w:val="none" w:sz="0" w:space="0" w:color="auto"/>
          </w:divBdr>
        </w:div>
        <w:div w:id="1340430257">
          <w:marLeft w:val="0"/>
          <w:marRight w:val="0"/>
          <w:marTop w:val="0"/>
          <w:marBottom w:val="0"/>
          <w:divBdr>
            <w:top w:val="none" w:sz="0" w:space="0" w:color="auto"/>
            <w:left w:val="none" w:sz="0" w:space="0" w:color="auto"/>
            <w:bottom w:val="none" w:sz="0" w:space="0" w:color="auto"/>
            <w:right w:val="none" w:sz="0" w:space="0" w:color="auto"/>
          </w:divBdr>
        </w:div>
        <w:div w:id="1294676159">
          <w:marLeft w:val="0"/>
          <w:marRight w:val="0"/>
          <w:marTop w:val="0"/>
          <w:marBottom w:val="0"/>
          <w:divBdr>
            <w:top w:val="none" w:sz="0" w:space="0" w:color="auto"/>
            <w:left w:val="none" w:sz="0" w:space="0" w:color="auto"/>
            <w:bottom w:val="none" w:sz="0" w:space="0" w:color="auto"/>
            <w:right w:val="none" w:sz="0" w:space="0" w:color="auto"/>
          </w:divBdr>
        </w:div>
        <w:div w:id="1689868201">
          <w:marLeft w:val="0"/>
          <w:marRight w:val="0"/>
          <w:marTop w:val="0"/>
          <w:marBottom w:val="0"/>
          <w:divBdr>
            <w:top w:val="none" w:sz="0" w:space="0" w:color="auto"/>
            <w:left w:val="none" w:sz="0" w:space="0" w:color="auto"/>
            <w:bottom w:val="none" w:sz="0" w:space="0" w:color="auto"/>
            <w:right w:val="none" w:sz="0" w:space="0" w:color="auto"/>
          </w:divBdr>
        </w:div>
        <w:div w:id="555580268">
          <w:marLeft w:val="0"/>
          <w:marRight w:val="0"/>
          <w:marTop w:val="0"/>
          <w:marBottom w:val="0"/>
          <w:divBdr>
            <w:top w:val="none" w:sz="0" w:space="0" w:color="auto"/>
            <w:left w:val="none" w:sz="0" w:space="0" w:color="auto"/>
            <w:bottom w:val="none" w:sz="0" w:space="0" w:color="auto"/>
            <w:right w:val="none" w:sz="0" w:space="0" w:color="auto"/>
          </w:divBdr>
        </w:div>
        <w:div w:id="93062310">
          <w:marLeft w:val="0"/>
          <w:marRight w:val="0"/>
          <w:marTop w:val="0"/>
          <w:marBottom w:val="0"/>
          <w:divBdr>
            <w:top w:val="none" w:sz="0" w:space="0" w:color="auto"/>
            <w:left w:val="none" w:sz="0" w:space="0" w:color="auto"/>
            <w:bottom w:val="none" w:sz="0" w:space="0" w:color="auto"/>
            <w:right w:val="none" w:sz="0" w:space="0" w:color="auto"/>
          </w:divBdr>
        </w:div>
        <w:div w:id="1305700152">
          <w:marLeft w:val="0"/>
          <w:marRight w:val="0"/>
          <w:marTop w:val="0"/>
          <w:marBottom w:val="0"/>
          <w:divBdr>
            <w:top w:val="none" w:sz="0" w:space="0" w:color="auto"/>
            <w:left w:val="none" w:sz="0" w:space="0" w:color="auto"/>
            <w:bottom w:val="none" w:sz="0" w:space="0" w:color="auto"/>
            <w:right w:val="none" w:sz="0" w:space="0" w:color="auto"/>
          </w:divBdr>
        </w:div>
        <w:div w:id="1829321689">
          <w:marLeft w:val="0"/>
          <w:marRight w:val="0"/>
          <w:marTop w:val="0"/>
          <w:marBottom w:val="0"/>
          <w:divBdr>
            <w:top w:val="none" w:sz="0" w:space="0" w:color="auto"/>
            <w:left w:val="none" w:sz="0" w:space="0" w:color="auto"/>
            <w:bottom w:val="none" w:sz="0" w:space="0" w:color="auto"/>
            <w:right w:val="none" w:sz="0" w:space="0" w:color="auto"/>
          </w:divBdr>
        </w:div>
      </w:divsChild>
    </w:div>
    <w:div w:id="1261328122">
      <w:bodyDiv w:val="1"/>
      <w:marLeft w:val="0"/>
      <w:marRight w:val="0"/>
      <w:marTop w:val="0"/>
      <w:marBottom w:val="0"/>
      <w:divBdr>
        <w:top w:val="none" w:sz="0" w:space="0" w:color="auto"/>
        <w:left w:val="none" w:sz="0" w:space="0" w:color="auto"/>
        <w:bottom w:val="none" w:sz="0" w:space="0" w:color="auto"/>
        <w:right w:val="none" w:sz="0" w:space="0" w:color="auto"/>
      </w:divBdr>
    </w:div>
    <w:div w:id="1665470750">
      <w:bodyDiv w:val="1"/>
      <w:marLeft w:val="0"/>
      <w:marRight w:val="0"/>
      <w:marTop w:val="0"/>
      <w:marBottom w:val="0"/>
      <w:divBdr>
        <w:top w:val="none" w:sz="0" w:space="0" w:color="auto"/>
        <w:left w:val="none" w:sz="0" w:space="0" w:color="auto"/>
        <w:bottom w:val="none" w:sz="0" w:space="0" w:color="auto"/>
        <w:right w:val="none" w:sz="0" w:space="0" w:color="auto"/>
      </w:divBdr>
      <w:divsChild>
        <w:div w:id="1993169651">
          <w:marLeft w:val="0"/>
          <w:marRight w:val="0"/>
          <w:marTop w:val="0"/>
          <w:marBottom w:val="0"/>
          <w:divBdr>
            <w:top w:val="none" w:sz="0" w:space="0" w:color="auto"/>
            <w:left w:val="none" w:sz="0" w:space="0" w:color="auto"/>
            <w:bottom w:val="none" w:sz="0" w:space="0" w:color="auto"/>
            <w:right w:val="none" w:sz="0" w:space="0" w:color="auto"/>
          </w:divBdr>
          <w:divsChild>
            <w:div w:id="974487377">
              <w:marLeft w:val="0"/>
              <w:marRight w:val="0"/>
              <w:marTop w:val="0"/>
              <w:marBottom w:val="0"/>
              <w:divBdr>
                <w:top w:val="none" w:sz="0" w:space="0" w:color="auto"/>
                <w:left w:val="none" w:sz="0" w:space="0" w:color="auto"/>
                <w:bottom w:val="none" w:sz="0" w:space="0" w:color="auto"/>
                <w:right w:val="none" w:sz="0" w:space="0" w:color="auto"/>
              </w:divBdr>
              <w:divsChild>
                <w:div w:id="2751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3537">
          <w:marLeft w:val="0"/>
          <w:marRight w:val="0"/>
          <w:marTop w:val="0"/>
          <w:marBottom w:val="0"/>
          <w:divBdr>
            <w:top w:val="none" w:sz="0" w:space="0" w:color="auto"/>
            <w:left w:val="none" w:sz="0" w:space="0" w:color="auto"/>
            <w:bottom w:val="none" w:sz="0" w:space="0" w:color="auto"/>
            <w:right w:val="none" w:sz="0" w:space="0" w:color="auto"/>
          </w:divBdr>
          <w:divsChild>
            <w:div w:id="1403406499">
              <w:marLeft w:val="0"/>
              <w:marRight w:val="0"/>
              <w:marTop w:val="0"/>
              <w:marBottom w:val="0"/>
              <w:divBdr>
                <w:top w:val="none" w:sz="0" w:space="0" w:color="auto"/>
                <w:left w:val="none" w:sz="0" w:space="0" w:color="auto"/>
                <w:bottom w:val="none" w:sz="0" w:space="0" w:color="auto"/>
                <w:right w:val="none" w:sz="0" w:space="0" w:color="auto"/>
              </w:divBdr>
              <w:divsChild>
                <w:div w:id="9545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irs.gov/credits-deductions/businesses/opportunity-zone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arcg.is/1qDuGP2"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353</Words>
  <Characters>2016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Malek</dc:creator>
  <cp:keywords/>
  <dc:description/>
  <cp:lastModifiedBy>Jack Malek</cp:lastModifiedBy>
  <cp:revision>4</cp:revision>
  <dcterms:created xsi:type="dcterms:W3CDTF">2024-10-15T00:08:00Z</dcterms:created>
  <dcterms:modified xsi:type="dcterms:W3CDTF">2024-12-02T14:49:00Z</dcterms:modified>
</cp:coreProperties>
</file>