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FDFBD" w14:textId="4A0F4B88" w:rsidR="00386DB8" w:rsidRDefault="00386DB8" w:rsidP="00386DB8">
      <w:pPr>
        <w:spacing w:before="100" w:beforeAutospacing="1" w:after="100" w:afterAutospacing="1"/>
        <w:jc w:val="center"/>
        <w:outlineLvl w:val="2"/>
        <w:rPr>
          <w:rFonts w:ascii="Segoe UI" w:eastAsia="Times New Roman" w:hAnsi="Segoe UI" w:cs="Segoe UI"/>
          <w:b/>
          <w:bCs/>
          <w:sz w:val="36"/>
          <w:szCs w:val="36"/>
          <w:lang w:eastAsia="en-GB"/>
        </w:rPr>
      </w:pPr>
      <w:r>
        <w:rPr>
          <w:noProof/>
        </w:rPr>
        <w:drawing>
          <wp:inline distT="0" distB="0" distL="0" distR="0" wp14:anchorId="21FBBAB0" wp14:editId="43C04B97">
            <wp:extent cx="1158240" cy="1158240"/>
            <wp:effectExtent l="0" t="0" r="3810" b="3810"/>
            <wp:docPr id="263302858" name="Picture 1" descr="01673 828187&#10;pegasuschildcare1@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673 828187&#10;pegasuschildcare1@outlook.c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8240" cy="1158240"/>
                    </a:xfrm>
                    <a:prstGeom prst="rect">
                      <a:avLst/>
                    </a:prstGeom>
                    <a:noFill/>
                    <a:ln>
                      <a:noFill/>
                    </a:ln>
                  </pic:spPr>
                </pic:pic>
              </a:graphicData>
            </a:graphic>
          </wp:inline>
        </w:drawing>
      </w:r>
    </w:p>
    <w:p w14:paraId="4AEB6AF2" w14:textId="5BB419FD" w:rsidR="00C17172" w:rsidRPr="004426AD" w:rsidRDefault="00C17172" w:rsidP="00386DB8">
      <w:pPr>
        <w:spacing w:before="100" w:beforeAutospacing="1" w:after="100" w:afterAutospacing="1"/>
        <w:jc w:val="center"/>
        <w:outlineLvl w:val="2"/>
        <w:rPr>
          <w:rFonts w:ascii="Century Gothic" w:eastAsia="Times New Roman" w:hAnsi="Century Gothic" w:cs="Segoe UI"/>
          <w:b/>
          <w:bCs/>
          <w:sz w:val="36"/>
          <w:szCs w:val="36"/>
          <w:lang w:eastAsia="en-GB"/>
        </w:rPr>
      </w:pPr>
      <w:r w:rsidRPr="004426AD">
        <w:rPr>
          <w:rFonts w:ascii="Century Gothic" w:eastAsia="Times New Roman" w:hAnsi="Century Gothic" w:cs="Segoe UI"/>
          <w:b/>
          <w:bCs/>
          <w:sz w:val="36"/>
          <w:szCs w:val="36"/>
          <w:lang w:eastAsia="en-GB"/>
        </w:rPr>
        <w:t>Wearable Technology Policy</w:t>
      </w:r>
    </w:p>
    <w:p w14:paraId="7DD93094" w14:textId="0FAAAFDD" w:rsidR="00C17172" w:rsidRPr="004426AD" w:rsidRDefault="00C17172" w:rsidP="00C17172">
      <w:pPr>
        <w:spacing w:before="100" w:beforeAutospacing="1" w:after="100" w:afterAutospacing="1"/>
        <w:rPr>
          <w:rFonts w:ascii="Century Gothic" w:eastAsia="Times New Roman" w:hAnsi="Century Gothic" w:cs="Segoe UI"/>
          <w:b/>
          <w:bCs/>
          <w:sz w:val="36"/>
          <w:szCs w:val="36"/>
          <w:lang w:eastAsia="en-GB"/>
        </w:rPr>
      </w:pPr>
      <w:r w:rsidRPr="004426AD">
        <w:rPr>
          <w:rFonts w:ascii="Century Gothic" w:eastAsia="Times New Roman" w:hAnsi="Century Gothic" w:cs="Segoe UI"/>
          <w:sz w:val="28"/>
          <w:szCs w:val="28"/>
          <w:lang w:eastAsia="en-GB"/>
        </w:rPr>
        <w:br/>
      </w:r>
      <w:r w:rsidRPr="004426AD">
        <w:rPr>
          <w:rFonts w:ascii="Century Gothic" w:eastAsia="Times New Roman" w:hAnsi="Century Gothic" w:cs="Segoe UI"/>
          <w:b/>
          <w:bCs/>
          <w:sz w:val="28"/>
          <w:szCs w:val="28"/>
          <w:lang w:eastAsia="en-GB"/>
        </w:rPr>
        <w:t>Policy Statement:</w:t>
      </w:r>
      <w:r w:rsidR="00386DB8" w:rsidRPr="004426AD">
        <w:rPr>
          <w:rFonts w:ascii="Century Gothic" w:eastAsia="Times New Roman" w:hAnsi="Century Gothic" w:cs="Segoe UI"/>
          <w:sz w:val="28"/>
          <w:szCs w:val="28"/>
          <w:lang w:eastAsia="en-GB"/>
        </w:rPr>
        <w:t xml:space="preserve"> </w:t>
      </w:r>
      <w:r w:rsidRPr="004426AD">
        <w:rPr>
          <w:rFonts w:ascii="Century Gothic" w:eastAsia="Times New Roman" w:hAnsi="Century Gothic" w:cs="Segoe UI"/>
          <w:sz w:val="28"/>
          <w:szCs w:val="28"/>
          <w:lang w:eastAsia="en-GB"/>
        </w:rPr>
        <w:t xml:space="preserve">At </w:t>
      </w:r>
      <w:r w:rsidR="00386DB8" w:rsidRPr="004426AD">
        <w:rPr>
          <w:rFonts w:ascii="Century Gothic" w:eastAsia="Times New Roman" w:hAnsi="Century Gothic" w:cs="Segoe UI"/>
          <w:sz w:val="28"/>
          <w:szCs w:val="28"/>
          <w:lang w:eastAsia="en-GB"/>
        </w:rPr>
        <w:t>Pegasus Nursery &amp; Preschool</w:t>
      </w:r>
      <w:r w:rsidRPr="004426AD">
        <w:rPr>
          <w:rFonts w:ascii="Century Gothic" w:eastAsia="Times New Roman" w:hAnsi="Century Gothic" w:cs="Segoe UI"/>
          <w:sz w:val="28"/>
          <w:szCs w:val="28"/>
          <w:lang w:eastAsia="en-GB"/>
        </w:rPr>
        <w:t>, the safety, privacy, and safeguarding of the children in our care is our highest priority. This Wearable Technology Policy outlines our procedures for managing and restricting the use of wearable technology that may record or transmit audio, video, or location data within the setting.</w:t>
      </w:r>
    </w:p>
    <w:p w14:paraId="1029877E" w14:textId="7777777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Purpose:</w:t>
      </w:r>
      <w:r w:rsidRPr="004426AD">
        <w:rPr>
          <w:rFonts w:ascii="Century Gothic" w:eastAsia="Times New Roman" w:hAnsi="Century Gothic" w:cs="Segoe UI"/>
          <w:sz w:val="28"/>
          <w:szCs w:val="28"/>
          <w:lang w:eastAsia="en-GB"/>
        </w:rPr>
        <w:br/>
        <w:t>This policy aims to ensure that wearable technology does not compromise children’s privacy, breach data protection laws, or interfere with safeguarding responsibilities.</w:t>
      </w:r>
    </w:p>
    <w:p w14:paraId="243FABA4" w14:textId="7777777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Definition of Wearable Technology:</w:t>
      </w:r>
      <w:r w:rsidRPr="004426AD">
        <w:rPr>
          <w:rFonts w:ascii="Century Gothic" w:eastAsia="Times New Roman" w:hAnsi="Century Gothic" w:cs="Segoe UI"/>
          <w:sz w:val="28"/>
          <w:szCs w:val="28"/>
          <w:lang w:eastAsia="en-GB"/>
        </w:rPr>
        <w:br/>
        <w:t>Wearable technology includes, but is not limited to:</w:t>
      </w:r>
      <w:r w:rsidRPr="004426AD">
        <w:rPr>
          <w:rFonts w:ascii="Century Gothic" w:eastAsia="Times New Roman" w:hAnsi="Century Gothic" w:cs="Segoe UI"/>
          <w:sz w:val="28"/>
          <w:szCs w:val="28"/>
          <w:lang w:eastAsia="en-GB"/>
        </w:rPr>
        <w:br/>
        <w:t>• Smart watches with cameras, microphones, or messaging capabilities</w:t>
      </w:r>
      <w:r w:rsidRPr="004426AD">
        <w:rPr>
          <w:rFonts w:ascii="Century Gothic" w:eastAsia="Times New Roman" w:hAnsi="Century Gothic" w:cs="Segoe UI"/>
          <w:sz w:val="28"/>
          <w:szCs w:val="28"/>
          <w:lang w:eastAsia="en-GB"/>
        </w:rPr>
        <w:br/>
        <w:t>• Smart glasses with recording or live streaming functionality</w:t>
      </w:r>
      <w:r w:rsidRPr="004426AD">
        <w:rPr>
          <w:rFonts w:ascii="Century Gothic" w:eastAsia="Times New Roman" w:hAnsi="Century Gothic" w:cs="Segoe UI"/>
          <w:sz w:val="28"/>
          <w:szCs w:val="28"/>
          <w:lang w:eastAsia="en-GB"/>
        </w:rPr>
        <w:br/>
        <w:t>• Fitness bands that can transmit data</w:t>
      </w:r>
      <w:r w:rsidRPr="004426AD">
        <w:rPr>
          <w:rFonts w:ascii="Century Gothic" w:eastAsia="Times New Roman" w:hAnsi="Century Gothic" w:cs="Segoe UI"/>
          <w:sz w:val="28"/>
          <w:szCs w:val="28"/>
          <w:lang w:eastAsia="en-GB"/>
        </w:rPr>
        <w:br/>
        <w:t>• Any body-worn device capable of capturing images, video, sound, or GPS location</w:t>
      </w:r>
    </w:p>
    <w:p w14:paraId="39A87544" w14:textId="7777777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General Rules:</w:t>
      </w:r>
      <w:r w:rsidRPr="004426AD">
        <w:rPr>
          <w:rFonts w:ascii="Century Gothic" w:eastAsia="Times New Roman" w:hAnsi="Century Gothic" w:cs="Segoe UI"/>
          <w:sz w:val="28"/>
          <w:szCs w:val="28"/>
          <w:lang w:eastAsia="en-GB"/>
        </w:rPr>
        <w:br/>
        <w:t>• Children are not permitted to wear or bring wearable technology into the childminding setting unless explicitly agreed in advance for medical or SEND purposes.</w:t>
      </w:r>
      <w:r w:rsidRPr="004426AD">
        <w:rPr>
          <w:rFonts w:ascii="Century Gothic" w:eastAsia="Times New Roman" w:hAnsi="Century Gothic" w:cs="Segoe UI"/>
          <w:sz w:val="28"/>
          <w:szCs w:val="28"/>
          <w:lang w:eastAsia="en-GB"/>
        </w:rPr>
        <w:br/>
        <w:t>• Staff and visitors must not wear or use wearable technology capable of recording or transmitting data while on the premises unless it is essential and authorised (e.g., for medical alerts).</w:t>
      </w:r>
      <w:r w:rsidRPr="004426AD">
        <w:rPr>
          <w:rFonts w:ascii="Century Gothic" w:eastAsia="Times New Roman" w:hAnsi="Century Gothic" w:cs="Segoe UI"/>
          <w:sz w:val="28"/>
          <w:szCs w:val="28"/>
          <w:lang w:eastAsia="en-GB"/>
        </w:rPr>
        <w:br/>
        <w:t>• Any exceptions must be risk assessed and documented.</w:t>
      </w:r>
    </w:p>
    <w:p w14:paraId="0EA77E82" w14:textId="7777777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Staff Responsibilities:</w:t>
      </w:r>
      <w:r w:rsidRPr="004426AD">
        <w:rPr>
          <w:rFonts w:ascii="Century Gothic" w:eastAsia="Times New Roman" w:hAnsi="Century Gothic" w:cs="Segoe UI"/>
          <w:sz w:val="28"/>
          <w:szCs w:val="28"/>
          <w:lang w:eastAsia="en-GB"/>
        </w:rPr>
        <w:br/>
        <w:t xml:space="preserve">• Staff must not use wearable technology during working hours </w:t>
      </w:r>
      <w:r w:rsidRPr="004426AD">
        <w:rPr>
          <w:rFonts w:ascii="Century Gothic" w:eastAsia="Times New Roman" w:hAnsi="Century Gothic" w:cs="Segoe UI"/>
          <w:sz w:val="28"/>
          <w:szCs w:val="28"/>
          <w:lang w:eastAsia="en-GB"/>
        </w:rPr>
        <w:lastRenderedPageBreak/>
        <w:t>unless it is part of an agreed reasonable adjustment or essential for health reasons (e.g., diabetes monitors).</w:t>
      </w:r>
      <w:r w:rsidRPr="004426AD">
        <w:rPr>
          <w:rFonts w:ascii="Century Gothic" w:eastAsia="Times New Roman" w:hAnsi="Century Gothic" w:cs="Segoe UI"/>
          <w:sz w:val="28"/>
          <w:szCs w:val="28"/>
          <w:lang w:eastAsia="en-GB"/>
        </w:rPr>
        <w:br/>
        <w:t>• Any smart devices must be disabled from recording or connecting to the internet while on the premises.</w:t>
      </w:r>
      <w:r w:rsidRPr="004426AD">
        <w:rPr>
          <w:rFonts w:ascii="Century Gothic" w:eastAsia="Times New Roman" w:hAnsi="Century Gothic" w:cs="Segoe UI"/>
          <w:sz w:val="28"/>
          <w:szCs w:val="28"/>
          <w:lang w:eastAsia="en-GB"/>
        </w:rPr>
        <w:br/>
        <w:t>• Staff are expected to store personal smartwatches or wearable devices with similar functions in secure staff-only areas if they cannot be used in compliance with this policy.</w:t>
      </w:r>
    </w:p>
    <w:p w14:paraId="4AACFBAC" w14:textId="1F68C33E"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Parental and Visitor Guidance:</w:t>
      </w:r>
      <w:r w:rsidRPr="004426AD">
        <w:rPr>
          <w:rFonts w:ascii="Century Gothic" w:eastAsia="Times New Roman" w:hAnsi="Century Gothic" w:cs="Segoe UI"/>
          <w:sz w:val="28"/>
          <w:szCs w:val="28"/>
          <w:lang w:eastAsia="en-GB"/>
        </w:rPr>
        <w:br/>
        <w:t>• Parents and visitors will be asked to remove or disable wearable technology that has recording capabilities when entering the setting.</w:t>
      </w:r>
      <w:r w:rsidRPr="004426AD">
        <w:rPr>
          <w:rFonts w:ascii="Century Gothic" w:eastAsia="Times New Roman" w:hAnsi="Century Gothic" w:cs="Segoe UI"/>
          <w:sz w:val="28"/>
          <w:szCs w:val="28"/>
          <w:lang w:eastAsia="en-GB"/>
        </w:rPr>
        <w:br/>
        <w:t>• Signs may be displayed to remind visitors of the setting’s stance on wearable technology and privacy protection.</w:t>
      </w:r>
    </w:p>
    <w:p w14:paraId="693FC308" w14:textId="7777777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SEND and Medical Considerations:</w:t>
      </w:r>
      <w:r w:rsidRPr="004426AD">
        <w:rPr>
          <w:rFonts w:ascii="Century Gothic" w:eastAsia="Times New Roman" w:hAnsi="Century Gothic" w:cs="Segoe UI"/>
          <w:sz w:val="28"/>
          <w:szCs w:val="28"/>
          <w:lang w:eastAsia="en-GB"/>
        </w:rPr>
        <w:br/>
        <w:t>• In cases where a child or adult needs to wear a specific device for medical or additional support needs (e.g., glucose monitors, communication aids), this must be discussed, risk assessed, and documented with parental/carer input.</w:t>
      </w:r>
      <w:r w:rsidRPr="004426AD">
        <w:rPr>
          <w:rFonts w:ascii="Century Gothic" w:eastAsia="Times New Roman" w:hAnsi="Century Gothic" w:cs="Segoe UI"/>
          <w:sz w:val="28"/>
          <w:szCs w:val="28"/>
          <w:lang w:eastAsia="en-GB"/>
        </w:rPr>
        <w:br/>
        <w:t>• Data from such devices will be handled securely and sensitively, following GDPR guidelines.</w:t>
      </w:r>
    </w:p>
    <w:p w14:paraId="4E2A0A08" w14:textId="602BE92E"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Data Protection and Safeguarding:</w:t>
      </w:r>
      <w:r w:rsidRPr="004426AD">
        <w:rPr>
          <w:rFonts w:ascii="Century Gothic" w:eastAsia="Times New Roman" w:hAnsi="Century Gothic" w:cs="Segoe UI"/>
          <w:sz w:val="28"/>
          <w:szCs w:val="28"/>
          <w:lang w:eastAsia="en-GB"/>
        </w:rPr>
        <w:br/>
        <w:t>• No data (images, videos, audio, or personal information) should be collected or transmitted via wearable devices within the setting without explicit written parental consent and appropriate security controls.</w:t>
      </w:r>
      <w:r w:rsidRPr="004426AD">
        <w:rPr>
          <w:rFonts w:ascii="Century Gothic" w:eastAsia="Times New Roman" w:hAnsi="Century Gothic" w:cs="Segoe UI"/>
          <w:sz w:val="28"/>
          <w:szCs w:val="28"/>
          <w:lang w:eastAsia="en-GB"/>
        </w:rPr>
        <w:br/>
        <w:t>• Any breach of this policy may result in disciplinary action and will be treated as a safeguarding matter if children’s safety or privacy is compromised.</w:t>
      </w:r>
    </w:p>
    <w:p w14:paraId="3DCFC5F9" w14:textId="7777777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Monitoring and Enforcement:</w:t>
      </w:r>
      <w:r w:rsidRPr="004426AD">
        <w:rPr>
          <w:rFonts w:ascii="Century Gothic" w:eastAsia="Times New Roman" w:hAnsi="Century Gothic" w:cs="Segoe UI"/>
          <w:sz w:val="28"/>
          <w:szCs w:val="28"/>
          <w:lang w:eastAsia="en-GB"/>
        </w:rPr>
        <w:br/>
        <w:t>• Staff are responsible for self-monitoring their compliance and supporting others in adhering to this policy.</w:t>
      </w:r>
      <w:r w:rsidRPr="004426AD">
        <w:rPr>
          <w:rFonts w:ascii="Century Gothic" w:eastAsia="Times New Roman" w:hAnsi="Century Gothic" w:cs="Segoe UI"/>
          <w:sz w:val="28"/>
          <w:szCs w:val="28"/>
          <w:lang w:eastAsia="en-GB"/>
        </w:rPr>
        <w:br/>
        <w:t>• Any unauthorised use of wearable technology must be reported to the Designated Safeguarding Lead (DSL) immediately.</w:t>
      </w:r>
    </w:p>
    <w:p w14:paraId="66EABEF7" w14:textId="7777777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Alignment with EYFS 2025 Changes:</w:t>
      </w:r>
      <w:r w:rsidRPr="004426AD">
        <w:rPr>
          <w:rFonts w:ascii="Century Gothic" w:eastAsia="Times New Roman" w:hAnsi="Century Gothic" w:cs="Segoe UI"/>
          <w:sz w:val="28"/>
          <w:szCs w:val="28"/>
          <w:lang w:eastAsia="en-GB"/>
        </w:rPr>
        <w:br/>
        <w:t>This policy supports the safeguarding emphasis of the updated EYFS</w:t>
      </w:r>
      <w:r w:rsidRPr="004426AD">
        <w:rPr>
          <w:rFonts w:ascii="Century Gothic" w:eastAsia="Times New Roman" w:hAnsi="Century Gothic" w:cs="Segoe UI"/>
          <w:b/>
          <w:bCs/>
          <w:sz w:val="28"/>
          <w:szCs w:val="28"/>
          <w:lang w:eastAsia="en-GB"/>
        </w:rPr>
        <w:t xml:space="preserve"> </w:t>
      </w:r>
      <w:r w:rsidRPr="004426AD">
        <w:rPr>
          <w:rFonts w:ascii="Century Gothic" w:eastAsia="Times New Roman" w:hAnsi="Century Gothic" w:cs="Segoe UI"/>
          <w:sz w:val="28"/>
          <w:szCs w:val="28"/>
          <w:lang w:eastAsia="en-GB"/>
        </w:rPr>
        <w:t xml:space="preserve">2025 by prioritising children's privacy, safety, and dignity in </w:t>
      </w:r>
      <w:r w:rsidRPr="004426AD">
        <w:rPr>
          <w:rFonts w:ascii="Century Gothic" w:eastAsia="Times New Roman" w:hAnsi="Century Gothic" w:cs="Segoe UI"/>
          <w:sz w:val="28"/>
          <w:szCs w:val="28"/>
          <w:lang w:eastAsia="en-GB"/>
        </w:rPr>
        <w:lastRenderedPageBreak/>
        <w:t>line with broader data protection and safeguarding practices. It aligns with the framework’s ongoing commitment to prevent unsafe practices and enhance child protection measures within early years settings.</w:t>
      </w:r>
    </w:p>
    <w:p w14:paraId="56ACFDF1" w14:textId="7777777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Review and Monitoring:</w:t>
      </w:r>
      <w:r w:rsidRPr="004426AD">
        <w:rPr>
          <w:rFonts w:ascii="Century Gothic" w:eastAsia="Times New Roman" w:hAnsi="Century Gothic" w:cs="Segoe UI"/>
          <w:sz w:val="28"/>
          <w:szCs w:val="28"/>
          <w:lang w:eastAsia="en-GB"/>
        </w:rPr>
        <w:br/>
        <w:t>• This policy will be reviewed annually or sooner if legislative guidance, technology use, or safeguarding standards change.</w:t>
      </w:r>
      <w:r w:rsidRPr="004426AD">
        <w:rPr>
          <w:rFonts w:ascii="Century Gothic" w:eastAsia="Times New Roman" w:hAnsi="Century Gothic" w:cs="Segoe UI"/>
          <w:sz w:val="28"/>
          <w:szCs w:val="28"/>
          <w:lang w:eastAsia="en-GB"/>
        </w:rPr>
        <w:br/>
        <w:t>• Feedback from staff, parents, and external safeguarding bodies is welcomed to continually improve our technology and privacy protocols.</w:t>
      </w:r>
    </w:p>
    <w:p w14:paraId="4596FC30" w14:textId="1272B867" w:rsidR="00C17172" w:rsidRPr="004426AD" w:rsidRDefault="00C17172"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b/>
          <w:bCs/>
          <w:sz w:val="28"/>
          <w:szCs w:val="28"/>
          <w:lang w:eastAsia="en-GB"/>
        </w:rPr>
        <w:t>Signed:</w:t>
      </w:r>
      <w:r w:rsidR="00386DB8" w:rsidRPr="004426AD">
        <w:rPr>
          <w:rFonts w:ascii="Century Gothic" w:eastAsia="Times New Roman" w:hAnsi="Century Gothic" w:cs="Segoe UI"/>
          <w:sz w:val="28"/>
          <w:szCs w:val="28"/>
          <w:lang w:eastAsia="en-GB"/>
        </w:rPr>
        <w:t xml:space="preserve"> Natasha Taylor</w:t>
      </w:r>
      <w:r w:rsidRPr="004426AD">
        <w:rPr>
          <w:rFonts w:ascii="Century Gothic" w:eastAsia="Times New Roman" w:hAnsi="Century Gothic" w:cs="Segoe UI"/>
          <w:sz w:val="28"/>
          <w:szCs w:val="28"/>
          <w:lang w:eastAsia="en-GB"/>
        </w:rPr>
        <w:br/>
      </w:r>
      <w:r w:rsidRPr="004426AD">
        <w:rPr>
          <w:rFonts w:ascii="Century Gothic" w:eastAsia="Times New Roman" w:hAnsi="Century Gothic" w:cs="Segoe UI"/>
          <w:b/>
          <w:bCs/>
          <w:sz w:val="28"/>
          <w:szCs w:val="28"/>
          <w:lang w:eastAsia="en-GB"/>
        </w:rPr>
        <w:t>Date:</w:t>
      </w:r>
      <w:r w:rsidRPr="004426AD">
        <w:rPr>
          <w:rFonts w:ascii="Century Gothic" w:eastAsia="Times New Roman" w:hAnsi="Century Gothic" w:cs="Segoe UI"/>
          <w:sz w:val="28"/>
          <w:szCs w:val="28"/>
          <w:lang w:eastAsia="en-GB"/>
        </w:rPr>
        <w:t xml:space="preserve"> </w:t>
      </w:r>
      <w:r w:rsidR="00386DB8" w:rsidRPr="004426AD">
        <w:rPr>
          <w:rFonts w:ascii="Century Gothic" w:eastAsia="Times New Roman" w:hAnsi="Century Gothic" w:cs="Segoe UI"/>
          <w:sz w:val="28"/>
          <w:szCs w:val="28"/>
          <w:lang w:eastAsia="en-GB"/>
        </w:rPr>
        <w:t>19</w:t>
      </w:r>
      <w:r w:rsidR="00386DB8" w:rsidRPr="004426AD">
        <w:rPr>
          <w:rFonts w:ascii="Century Gothic" w:eastAsia="Times New Roman" w:hAnsi="Century Gothic" w:cs="Segoe UI"/>
          <w:sz w:val="28"/>
          <w:szCs w:val="28"/>
          <w:vertAlign w:val="superscript"/>
          <w:lang w:eastAsia="en-GB"/>
        </w:rPr>
        <w:t>th</w:t>
      </w:r>
      <w:r w:rsidR="00386DB8" w:rsidRPr="004426AD">
        <w:rPr>
          <w:rFonts w:ascii="Century Gothic" w:eastAsia="Times New Roman" w:hAnsi="Century Gothic" w:cs="Segoe UI"/>
          <w:sz w:val="28"/>
          <w:szCs w:val="28"/>
          <w:lang w:eastAsia="en-GB"/>
        </w:rPr>
        <w:t xml:space="preserve"> January 2026.</w:t>
      </w:r>
    </w:p>
    <w:tbl>
      <w:tblPr>
        <w:tblStyle w:val="TableGrid"/>
        <w:tblW w:w="0" w:type="auto"/>
        <w:tblLook w:val="04A0" w:firstRow="1" w:lastRow="0" w:firstColumn="1" w:lastColumn="0" w:noHBand="0" w:noVBand="1"/>
      </w:tblPr>
      <w:tblGrid>
        <w:gridCol w:w="4505"/>
        <w:gridCol w:w="4505"/>
      </w:tblGrid>
      <w:tr w:rsidR="00386DB8" w:rsidRPr="004426AD" w14:paraId="1272F034" w14:textId="77777777" w:rsidTr="00386DB8">
        <w:tc>
          <w:tcPr>
            <w:tcW w:w="4505" w:type="dxa"/>
          </w:tcPr>
          <w:p w14:paraId="03BEAABC" w14:textId="1928D334"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sz w:val="28"/>
                <w:szCs w:val="28"/>
                <w:lang w:eastAsia="en-GB"/>
              </w:rPr>
              <w:t>Date of Review:</w:t>
            </w:r>
          </w:p>
        </w:tc>
        <w:tc>
          <w:tcPr>
            <w:tcW w:w="4505" w:type="dxa"/>
          </w:tcPr>
          <w:p w14:paraId="44A89542" w14:textId="1BE0C8A9"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r w:rsidRPr="004426AD">
              <w:rPr>
                <w:rFonts w:ascii="Century Gothic" w:eastAsia="Times New Roman" w:hAnsi="Century Gothic" w:cs="Segoe UI"/>
                <w:sz w:val="28"/>
                <w:szCs w:val="28"/>
                <w:lang w:eastAsia="en-GB"/>
              </w:rPr>
              <w:t>Reviewed By:</w:t>
            </w:r>
          </w:p>
        </w:tc>
      </w:tr>
      <w:tr w:rsidR="00386DB8" w:rsidRPr="004426AD" w14:paraId="5FEA8CB9" w14:textId="77777777" w:rsidTr="00386DB8">
        <w:tc>
          <w:tcPr>
            <w:tcW w:w="4505" w:type="dxa"/>
          </w:tcPr>
          <w:p w14:paraId="5E75AB98"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c>
          <w:tcPr>
            <w:tcW w:w="4505" w:type="dxa"/>
          </w:tcPr>
          <w:p w14:paraId="6344C29A"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r>
      <w:tr w:rsidR="00386DB8" w:rsidRPr="004426AD" w14:paraId="2777BE7E" w14:textId="77777777" w:rsidTr="00386DB8">
        <w:tc>
          <w:tcPr>
            <w:tcW w:w="4505" w:type="dxa"/>
          </w:tcPr>
          <w:p w14:paraId="44257BEF"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c>
          <w:tcPr>
            <w:tcW w:w="4505" w:type="dxa"/>
          </w:tcPr>
          <w:p w14:paraId="6D105AC9"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r>
      <w:tr w:rsidR="00386DB8" w:rsidRPr="004426AD" w14:paraId="0AB3F0EB" w14:textId="77777777" w:rsidTr="00386DB8">
        <w:tc>
          <w:tcPr>
            <w:tcW w:w="4505" w:type="dxa"/>
          </w:tcPr>
          <w:p w14:paraId="37D3A9C9"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c>
          <w:tcPr>
            <w:tcW w:w="4505" w:type="dxa"/>
          </w:tcPr>
          <w:p w14:paraId="4E255ED5"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r>
      <w:tr w:rsidR="00386DB8" w:rsidRPr="004426AD" w14:paraId="1544631B" w14:textId="77777777" w:rsidTr="00386DB8">
        <w:tc>
          <w:tcPr>
            <w:tcW w:w="4505" w:type="dxa"/>
          </w:tcPr>
          <w:p w14:paraId="342E0B30"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c>
          <w:tcPr>
            <w:tcW w:w="4505" w:type="dxa"/>
          </w:tcPr>
          <w:p w14:paraId="65700388"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r>
      <w:tr w:rsidR="00386DB8" w:rsidRPr="004426AD" w14:paraId="44C38C9A" w14:textId="77777777" w:rsidTr="00386DB8">
        <w:tc>
          <w:tcPr>
            <w:tcW w:w="4505" w:type="dxa"/>
          </w:tcPr>
          <w:p w14:paraId="7B9ACF75"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c>
          <w:tcPr>
            <w:tcW w:w="4505" w:type="dxa"/>
          </w:tcPr>
          <w:p w14:paraId="7D15B4BC"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tc>
      </w:tr>
    </w:tbl>
    <w:p w14:paraId="172D1711" w14:textId="77777777" w:rsidR="00386DB8" w:rsidRPr="004426AD" w:rsidRDefault="00386DB8" w:rsidP="00C17172">
      <w:pPr>
        <w:spacing w:before="100" w:beforeAutospacing="1" w:after="100" w:afterAutospacing="1"/>
        <w:rPr>
          <w:rFonts w:ascii="Century Gothic" w:eastAsia="Times New Roman" w:hAnsi="Century Gothic" w:cs="Segoe UI"/>
          <w:sz w:val="28"/>
          <w:szCs w:val="28"/>
          <w:lang w:eastAsia="en-GB"/>
        </w:rPr>
      </w:pPr>
    </w:p>
    <w:p w14:paraId="7A75E530" w14:textId="233FDB1E" w:rsidR="0086255E" w:rsidRPr="004426AD" w:rsidRDefault="0086255E" w:rsidP="00BD7CC4">
      <w:pPr>
        <w:rPr>
          <w:rFonts w:ascii="Century Gothic" w:hAnsi="Century Gothic" w:cs="Segoe UI"/>
          <w:sz w:val="28"/>
          <w:szCs w:val="28"/>
        </w:rPr>
      </w:pPr>
    </w:p>
    <w:sectPr w:rsidR="0086255E" w:rsidRPr="004426AD" w:rsidSect="00F90A70">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5DBA6" w14:textId="77777777" w:rsidR="00D675B9" w:rsidRDefault="00D675B9" w:rsidP="00461B71">
      <w:r>
        <w:separator/>
      </w:r>
    </w:p>
  </w:endnote>
  <w:endnote w:type="continuationSeparator" w:id="0">
    <w:p w14:paraId="6E71F1A1" w14:textId="77777777" w:rsidR="00D675B9" w:rsidRDefault="00D675B9" w:rsidP="00461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F88C" w14:textId="1691357D" w:rsidR="00461B71" w:rsidRDefault="00461B71" w:rsidP="00461B7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EC952" w14:textId="77777777" w:rsidR="00D675B9" w:rsidRDefault="00D675B9" w:rsidP="00461B71">
      <w:r>
        <w:separator/>
      </w:r>
    </w:p>
  </w:footnote>
  <w:footnote w:type="continuationSeparator" w:id="0">
    <w:p w14:paraId="4DC51AC0" w14:textId="77777777" w:rsidR="00D675B9" w:rsidRDefault="00D675B9" w:rsidP="00461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5738AE"/>
    <w:multiLevelType w:val="multilevel"/>
    <w:tmpl w:val="31AE47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057EEA"/>
    <w:multiLevelType w:val="multilevel"/>
    <w:tmpl w:val="420AE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33F47A0"/>
    <w:multiLevelType w:val="multilevel"/>
    <w:tmpl w:val="0E481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C57B39"/>
    <w:multiLevelType w:val="multilevel"/>
    <w:tmpl w:val="F946A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871E40"/>
    <w:multiLevelType w:val="multilevel"/>
    <w:tmpl w:val="80C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8D3952"/>
    <w:multiLevelType w:val="multilevel"/>
    <w:tmpl w:val="5BB8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5B78F4"/>
    <w:multiLevelType w:val="multilevel"/>
    <w:tmpl w:val="15BAF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5CB7B22"/>
    <w:multiLevelType w:val="multilevel"/>
    <w:tmpl w:val="3726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282606"/>
    <w:multiLevelType w:val="multilevel"/>
    <w:tmpl w:val="D4B0D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4291F27"/>
    <w:multiLevelType w:val="multilevel"/>
    <w:tmpl w:val="807EC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101E85"/>
    <w:multiLevelType w:val="multilevel"/>
    <w:tmpl w:val="2BC82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92169A"/>
    <w:multiLevelType w:val="multilevel"/>
    <w:tmpl w:val="803E4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176D4"/>
    <w:multiLevelType w:val="multilevel"/>
    <w:tmpl w:val="F230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4501C5A"/>
    <w:multiLevelType w:val="multilevel"/>
    <w:tmpl w:val="CC94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EA7FC8"/>
    <w:multiLevelType w:val="multilevel"/>
    <w:tmpl w:val="DA78A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3FD0A6B"/>
    <w:multiLevelType w:val="multilevel"/>
    <w:tmpl w:val="CB68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4663349">
    <w:abstractNumId w:val="0"/>
  </w:num>
  <w:num w:numId="2" w16cid:durableId="808980420">
    <w:abstractNumId w:val="1"/>
  </w:num>
  <w:num w:numId="3" w16cid:durableId="1390378110">
    <w:abstractNumId w:val="2"/>
  </w:num>
  <w:num w:numId="4" w16cid:durableId="1542086822">
    <w:abstractNumId w:val="3"/>
  </w:num>
  <w:num w:numId="5" w16cid:durableId="2043432890">
    <w:abstractNumId w:val="4"/>
  </w:num>
  <w:num w:numId="6" w16cid:durableId="8068646">
    <w:abstractNumId w:val="5"/>
  </w:num>
  <w:num w:numId="7" w16cid:durableId="1328284430">
    <w:abstractNumId w:val="6"/>
  </w:num>
  <w:num w:numId="8" w16cid:durableId="1654676171">
    <w:abstractNumId w:val="7"/>
  </w:num>
  <w:num w:numId="9" w16cid:durableId="853953983">
    <w:abstractNumId w:val="13"/>
  </w:num>
  <w:num w:numId="10" w16cid:durableId="2111121829">
    <w:abstractNumId w:val="19"/>
  </w:num>
  <w:num w:numId="11" w16cid:durableId="1461605065">
    <w:abstractNumId w:val="20"/>
  </w:num>
  <w:num w:numId="12" w16cid:durableId="1644240040">
    <w:abstractNumId w:val="16"/>
  </w:num>
  <w:num w:numId="13" w16cid:durableId="786657454">
    <w:abstractNumId w:val="11"/>
  </w:num>
  <w:num w:numId="14" w16cid:durableId="66192332">
    <w:abstractNumId w:val="14"/>
  </w:num>
  <w:num w:numId="15" w16cid:durableId="208804397">
    <w:abstractNumId w:val="18"/>
  </w:num>
  <w:num w:numId="16" w16cid:durableId="50662035">
    <w:abstractNumId w:val="22"/>
  </w:num>
  <w:num w:numId="17" w16cid:durableId="682321395">
    <w:abstractNumId w:val="12"/>
  </w:num>
  <w:num w:numId="18" w16cid:durableId="179973292">
    <w:abstractNumId w:val="21"/>
  </w:num>
  <w:num w:numId="19" w16cid:durableId="1122847276">
    <w:abstractNumId w:val="8"/>
  </w:num>
  <w:num w:numId="20" w16cid:durableId="1743716805">
    <w:abstractNumId w:val="17"/>
  </w:num>
  <w:num w:numId="21" w16cid:durableId="355347401">
    <w:abstractNumId w:val="9"/>
  </w:num>
  <w:num w:numId="22" w16cid:durableId="150758426">
    <w:abstractNumId w:val="10"/>
  </w:num>
  <w:num w:numId="23" w16cid:durableId="293870834">
    <w:abstractNumId w:val="23"/>
  </w:num>
  <w:num w:numId="24" w16cid:durableId="12242908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0E"/>
    <w:rsid w:val="00012CBC"/>
    <w:rsid w:val="000A1CF6"/>
    <w:rsid w:val="001D1865"/>
    <w:rsid w:val="001E480E"/>
    <w:rsid w:val="00386DB8"/>
    <w:rsid w:val="003C7508"/>
    <w:rsid w:val="004426AD"/>
    <w:rsid w:val="00461B71"/>
    <w:rsid w:val="004B1547"/>
    <w:rsid w:val="00503F08"/>
    <w:rsid w:val="0064046C"/>
    <w:rsid w:val="007B752E"/>
    <w:rsid w:val="007C29E6"/>
    <w:rsid w:val="00804F8E"/>
    <w:rsid w:val="0086255E"/>
    <w:rsid w:val="00BD7CC4"/>
    <w:rsid w:val="00C17172"/>
    <w:rsid w:val="00D675B9"/>
    <w:rsid w:val="00D6770F"/>
    <w:rsid w:val="00D84D52"/>
    <w:rsid w:val="00F33E77"/>
    <w:rsid w:val="00F90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C6C"/>
  <w15:chartTrackingRefBased/>
  <w15:docId w15:val="{CF05144D-ACC3-E64A-8561-6E354A11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3C7508"/>
    <w:pPr>
      <w:spacing w:before="100" w:beforeAutospacing="1" w:after="100" w:afterAutospacing="1"/>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C7508"/>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B71"/>
    <w:pPr>
      <w:tabs>
        <w:tab w:val="center" w:pos="4680"/>
        <w:tab w:val="right" w:pos="9360"/>
      </w:tabs>
    </w:pPr>
  </w:style>
  <w:style w:type="character" w:customStyle="1" w:styleId="HeaderChar">
    <w:name w:val="Header Char"/>
    <w:basedOn w:val="DefaultParagraphFont"/>
    <w:link w:val="Header"/>
    <w:uiPriority w:val="99"/>
    <w:rsid w:val="00461B71"/>
  </w:style>
  <w:style w:type="paragraph" w:styleId="Footer">
    <w:name w:val="footer"/>
    <w:basedOn w:val="Normal"/>
    <w:link w:val="FooterChar"/>
    <w:uiPriority w:val="99"/>
    <w:unhideWhenUsed/>
    <w:rsid w:val="00461B71"/>
    <w:pPr>
      <w:tabs>
        <w:tab w:val="center" w:pos="4680"/>
        <w:tab w:val="right" w:pos="9360"/>
      </w:tabs>
    </w:pPr>
  </w:style>
  <w:style w:type="character" w:customStyle="1" w:styleId="FooterChar">
    <w:name w:val="Footer Char"/>
    <w:basedOn w:val="DefaultParagraphFont"/>
    <w:link w:val="Footer"/>
    <w:uiPriority w:val="99"/>
    <w:rsid w:val="00461B71"/>
  </w:style>
  <w:style w:type="paragraph" w:styleId="NormalWeb">
    <w:name w:val="Normal (Web)"/>
    <w:basedOn w:val="Normal"/>
    <w:uiPriority w:val="99"/>
    <w:semiHidden/>
    <w:unhideWhenUsed/>
    <w:rsid w:val="00BD7CC4"/>
    <w:pPr>
      <w:spacing w:before="100" w:beforeAutospacing="1" w:after="100" w:afterAutospacing="1"/>
    </w:pPr>
    <w:rPr>
      <w:rFonts w:ascii="Times New Roman" w:eastAsia="Times New Roman" w:hAnsi="Times New Roman" w:cs="Times New Roman"/>
      <w:lang w:eastAsia="en-GB"/>
    </w:rPr>
  </w:style>
  <w:style w:type="character" w:styleId="Strong">
    <w:name w:val="Strong"/>
    <w:basedOn w:val="DefaultParagraphFont"/>
    <w:uiPriority w:val="22"/>
    <w:qFormat/>
    <w:rsid w:val="00BD7CC4"/>
    <w:rPr>
      <w:b/>
      <w:bCs/>
    </w:rPr>
  </w:style>
  <w:style w:type="character" w:styleId="Emphasis">
    <w:name w:val="Emphasis"/>
    <w:basedOn w:val="DefaultParagraphFont"/>
    <w:uiPriority w:val="20"/>
    <w:qFormat/>
    <w:rsid w:val="00BD7CC4"/>
    <w:rPr>
      <w:i/>
      <w:iCs/>
    </w:rPr>
  </w:style>
  <w:style w:type="character" w:customStyle="1" w:styleId="Heading3Char">
    <w:name w:val="Heading 3 Char"/>
    <w:basedOn w:val="DefaultParagraphFont"/>
    <w:link w:val="Heading3"/>
    <w:uiPriority w:val="9"/>
    <w:rsid w:val="003C7508"/>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C7508"/>
    <w:rPr>
      <w:rFonts w:ascii="Times New Roman" w:eastAsia="Times New Roman" w:hAnsi="Times New Roman" w:cs="Times New Roman"/>
      <w:b/>
      <w:bCs/>
      <w:lang w:eastAsia="en-GB"/>
    </w:rPr>
  </w:style>
  <w:style w:type="table" w:styleId="TableGrid">
    <w:name w:val="Table Grid"/>
    <w:basedOn w:val="TableNormal"/>
    <w:uiPriority w:val="39"/>
    <w:rsid w:val="00386D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6846">
      <w:bodyDiv w:val="1"/>
      <w:marLeft w:val="0"/>
      <w:marRight w:val="0"/>
      <w:marTop w:val="0"/>
      <w:marBottom w:val="0"/>
      <w:divBdr>
        <w:top w:val="none" w:sz="0" w:space="0" w:color="auto"/>
        <w:left w:val="none" w:sz="0" w:space="0" w:color="auto"/>
        <w:bottom w:val="none" w:sz="0" w:space="0" w:color="auto"/>
        <w:right w:val="none" w:sz="0" w:space="0" w:color="auto"/>
      </w:divBdr>
    </w:div>
    <w:div w:id="110786179">
      <w:bodyDiv w:val="1"/>
      <w:marLeft w:val="0"/>
      <w:marRight w:val="0"/>
      <w:marTop w:val="0"/>
      <w:marBottom w:val="0"/>
      <w:divBdr>
        <w:top w:val="none" w:sz="0" w:space="0" w:color="auto"/>
        <w:left w:val="none" w:sz="0" w:space="0" w:color="auto"/>
        <w:bottom w:val="none" w:sz="0" w:space="0" w:color="auto"/>
        <w:right w:val="none" w:sz="0" w:space="0" w:color="auto"/>
      </w:divBdr>
    </w:div>
    <w:div w:id="197935442">
      <w:bodyDiv w:val="1"/>
      <w:marLeft w:val="0"/>
      <w:marRight w:val="0"/>
      <w:marTop w:val="0"/>
      <w:marBottom w:val="0"/>
      <w:divBdr>
        <w:top w:val="none" w:sz="0" w:space="0" w:color="auto"/>
        <w:left w:val="none" w:sz="0" w:space="0" w:color="auto"/>
        <w:bottom w:val="none" w:sz="0" w:space="0" w:color="auto"/>
        <w:right w:val="none" w:sz="0" w:space="0" w:color="auto"/>
      </w:divBdr>
    </w:div>
    <w:div w:id="839927832">
      <w:bodyDiv w:val="1"/>
      <w:marLeft w:val="0"/>
      <w:marRight w:val="0"/>
      <w:marTop w:val="0"/>
      <w:marBottom w:val="0"/>
      <w:divBdr>
        <w:top w:val="none" w:sz="0" w:space="0" w:color="auto"/>
        <w:left w:val="none" w:sz="0" w:space="0" w:color="auto"/>
        <w:bottom w:val="none" w:sz="0" w:space="0" w:color="auto"/>
        <w:right w:val="none" w:sz="0" w:space="0" w:color="auto"/>
      </w:divBdr>
    </w:div>
    <w:div w:id="17460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573</Words>
  <Characters>3270</Characters>
  <Application>Microsoft Office Word</Application>
  <DocSecurity>0</DocSecurity>
  <Lines>27</Lines>
  <Paragraphs>7</Paragraphs>
  <ScaleCrop>false</ScaleCrop>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Natasha Taylor</cp:lastModifiedBy>
  <cp:revision>3</cp:revision>
  <dcterms:created xsi:type="dcterms:W3CDTF">2026-01-19T21:11:00Z</dcterms:created>
  <dcterms:modified xsi:type="dcterms:W3CDTF">2026-01-22T10:55:00Z</dcterms:modified>
</cp:coreProperties>
</file>