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5EAF" w14:textId="19B0CF20" w:rsidR="00175D55" w:rsidRDefault="00175D55" w:rsidP="00175D55">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41E8F1DB" wp14:editId="09F0FA88">
            <wp:extent cx="1211580" cy="1211580"/>
            <wp:effectExtent l="0" t="0" r="7620" b="7620"/>
            <wp:docPr id="954629234"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p>
    <w:p w14:paraId="162CFC81" w14:textId="76EAF66B" w:rsidR="00D025E3" w:rsidRPr="00A50D6E" w:rsidRDefault="009F1103" w:rsidP="00175D55">
      <w:pPr>
        <w:autoSpaceDE w:val="0"/>
        <w:autoSpaceDN w:val="0"/>
        <w:adjustRightInd w:val="0"/>
        <w:jc w:val="center"/>
        <w:rPr>
          <w:rFonts w:ascii="Century Gothic" w:eastAsia="Times New Roman" w:hAnsi="Century Gothic" w:cs="Segoe UI"/>
          <w:b/>
          <w:bCs/>
          <w:sz w:val="36"/>
          <w:szCs w:val="36"/>
          <w:lang w:eastAsia="en-GB"/>
        </w:rPr>
      </w:pPr>
      <w:r w:rsidRPr="00A50D6E">
        <w:rPr>
          <w:rFonts w:ascii="Century Gothic" w:eastAsia="Times New Roman" w:hAnsi="Century Gothic" w:cs="Segoe UI"/>
          <w:b/>
          <w:bCs/>
          <w:sz w:val="36"/>
          <w:szCs w:val="36"/>
          <w:lang w:eastAsia="en-GB"/>
        </w:rPr>
        <w:t>Transitions Policy</w:t>
      </w:r>
    </w:p>
    <w:p w14:paraId="4D046C8F" w14:textId="70DFA70D"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Policy Statement</w:t>
      </w:r>
      <w:r w:rsidR="00175D55" w:rsidRPr="00A50D6E">
        <w:rPr>
          <w:rFonts w:ascii="Century Gothic" w:eastAsia="Times New Roman" w:hAnsi="Century Gothic" w:cs="Segoe UI"/>
          <w:sz w:val="28"/>
          <w:szCs w:val="28"/>
          <w:lang w:eastAsia="en-GB"/>
        </w:rPr>
        <w:t xml:space="preserve">: </w:t>
      </w:r>
      <w:r w:rsidRPr="00A50D6E">
        <w:rPr>
          <w:rFonts w:ascii="Century Gothic" w:eastAsia="Times New Roman" w:hAnsi="Century Gothic" w:cs="Segoe UI"/>
          <w:sz w:val="28"/>
          <w:szCs w:val="28"/>
          <w:lang w:eastAsia="en-GB"/>
        </w:rPr>
        <w:t xml:space="preserve">At </w:t>
      </w:r>
      <w:r w:rsidR="00175D55" w:rsidRPr="00A50D6E">
        <w:rPr>
          <w:rFonts w:ascii="Century Gothic" w:eastAsia="Times New Roman" w:hAnsi="Century Gothic" w:cs="Segoe UI"/>
          <w:sz w:val="28"/>
          <w:szCs w:val="28"/>
          <w:lang w:eastAsia="en-GB"/>
        </w:rPr>
        <w:t>Pegasus Nursery &amp; Preschool</w:t>
      </w:r>
      <w:r w:rsidRPr="00A50D6E">
        <w:rPr>
          <w:rFonts w:ascii="Century Gothic" w:eastAsia="Times New Roman" w:hAnsi="Century Gothic" w:cs="Segoe UI"/>
          <w:sz w:val="28"/>
          <w:szCs w:val="28"/>
          <w:lang w:eastAsia="en-GB"/>
        </w:rPr>
        <w:t>, we recognise that transitions are significant milestones in every child’s life.</w:t>
      </w:r>
      <w:r w:rsidR="00175D55" w:rsidRPr="00A50D6E">
        <w:rPr>
          <w:rFonts w:ascii="Century Gothic" w:eastAsia="Times New Roman" w:hAnsi="Century Gothic" w:cs="Segoe UI"/>
          <w:sz w:val="28"/>
          <w:szCs w:val="28"/>
          <w:lang w:eastAsia="en-GB"/>
        </w:rPr>
        <w:t xml:space="preserve"> Moving</w:t>
      </w:r>
      <w:r w:rsidRPr="00A50D6E">
        <w:rPr>
          <w:rFonts w:ascii="Century Gothic" w:eastAsia="Times New Roman" w:hAnsi="Century Gothic" w:cs="Segoe UI"/>
          <w:sz w:val="28"/>
          <w:szCs w:val="28"/>
          <w:lang w:eastAsia="en-GB"/>
        </w:rPr>
        <w:t xml:space="preserve"> into a </w:t>
      </w:r>
      <w:r w:rsidR="00A50D6E" w:rsidRPr="00A50D6E">
        <w:rPr>
          <w:rFonts w:ascii="Century Gothic" w:eastAsia="Times New Roman" w:hAnsi="Century Gothic" w:cs="Segoe UI"/>
          <w:sz w:val="28"/>
          <w:szCs w:val="28"/>
          <w:lang w:eastAsia="en-GB"/>
        </w:rPr>
        <w:t>new early year</w:t>
      </w:r>
      <w:r w:rsidRPr="00A50D6E">
        <w:rPr>
          <w:rFonts w:ascii="Century Gothic" w:eastAsia="Times New Roman" w:hAnsi="Century Gothic" w:cs="Segoe UI"/>
          <w:sz w:val="28"/>
          <w:szCs w:val="28"/>
          <w:lang w:eastAsia="en-GB"/>
        </w:rPr>
        <w:t xml:space="preserve"> </w:t>
      </w:r>
      <w:proofErr w:type="gramStart"/>
      <w:r w:rsidRPr="00A50D6E">
        <w:rPr>
          <w:rFonts w:ascii="Century Gothic" w:eastAsia="Times New Roman" w:hAnsi="Century Gothic" w:cs="Segoe UI"/>
          <w:sz w:val="28"/>
          <w:szCs w:val="28"/>
          <w:lang w:eastAsia="en-GB"/>
        </w:rPr>
        <w:t>setting, or</w:t>
      </w:r>
      <w:proofErr w:type="gramEnd"/>
      <w:r w:rsidRPr="00A50D6E">
        <w:rPr>
          <w:rFonts w:ascii="Century Gothic" w:eastAsia="Times New Roman" w:hAnsi="Century Gothic" w:cs="Segoe UI"/>
          <w:sz w:val="28"/>
          <w:szCs w:val="28"/>
          <w:lang w:eastAsia="en-GB"/>
        </w:rPr>
        <w:t xml:space="preserve"> starting school can be exciting but also challenging. Our aim is to ensure that transitions are planned, supported, and managed sensitively so that every child feels safe, secure, and valued. This policy outlines our approach to supporting children and families during times of change, in line with the Early Years Foundation Stage (EYFS) 2025 framework.</w:t>
      </w:r>
    </w:p>
    <w:p w14:paraId="3DC57554"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Legal Framework</w:t>
      </w:r>
      <w:r w:rsidRPr="00A50D6E">
        <w:rPr>
          <w:rFonts w:ascii="Century Gothic" w:eastAsia="Times New Roman" w:hAnsi="Century Gothic" w:cs="Segoe UI"/>
          <w:sz w:val="28"/>
          <w:szCs w:val="28"/>
          <w:lang w:eastAsia="en-GB"/>
        </w:rPr>
        <w:br/>
        <w:t>This policy is guided by national legislation and statutory guidance, including but not limited to:</w:t>
      </w:r>
    </w:p>
    <w:p w14:paraId="5B32E703" w14:textId="77777777" w:rsidR="009216AE" w:rsidRPr="00A50D6E" w:rsidRDefault="009216AE" w:rsidP="009216AE">
      <w:pPr>
        <w:numPr>
          <w:ilvl w:val="0"/>
          <w:numId w:val="21"/>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EYFS Statutory Framework 2025</w:t>
      </w:r>
    </w:p>
    <w:p w14:paraId="4AD55394" w14:textId="77777777" w:rsidR="009216AE" w:rsidRPr="00A50D6E" w:rsidRDefault="009216AE" w:rsidP="009216AE">
      <w:pPr>
        <w:numPr>
          <w:ilvl w:val="0"/>
          <w:numId w:val="21"/>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Development Matters (2021, non-statutory curriculum guidance)</w:t>
      </w:r>
    </w:p>
    <w:p w14:paraId="74F42769" w14:textId="77777777" w:rsidR="009216AE" w:rsidRPr="00A50D6E" w:rsidRDefault="009216AE" w:rsidP="009216AE">
      <w:pPr>
        <w:numPr>
          <w:ilvl w:val="0"/>
          <w:numId w:val="21"/>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Working Together to Safeguard Children (2018, updated)</w:t>
      </w:r>
    </w:p>
    <w:p w14:paraId="5598CE65" w14:textId="77777777" w:rsidR="009216AE" w:rsidRPr="00A50D6E" w:rsidRDefault="009216AE" w:rsidP="009216AE">
      <w:pPr>
        <w:numPr>
          <w:ilvl w:val="0"/>
          <w:numId w:val="21"/>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Children Act 1989 and 2004</w:t>
      </w:r>
    </w:p>
    <w:p w14:paraId="6232DE38" w14:textId="77777777" w:rsidR="009216AE" w:rsidRPr="00A50D6E" w:rsidRDefault="009216AE" w:rsidP="009216AE">
      <w:pPr>
        <w:numPr>
          <w:ilvl w:val="0"/>
          <w:numId w:val="21"/>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Local authority transition guidance and partnership protocols</w:t>
      </w:r>
    </w:p>
    <w:p w14:paraId="5483E8E7" w14:textId="5BBBD6FA" w:rsidR="009216AE" w:rsidRPr="00A50D6E" w:rsidRDefault="00175D55"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highlight w:val="yellow"/>
          <w:lang w:eastAsia="en-GB"/>
        </w:rPr>
        <w:t>Gemma Treadwell (Transition Lead)</w:t>
      </w:r>
      <w:r w:rsidRPr="00A50D6E">
        <w:rPr>
          <w:rFonts w:ascii="Century Gothic" w:eastAsia="Times New Roman" w:hAnsi="Century Gothic" w:cs="Segoe UI"/>
          <w:b/>
          <w:bCs/>
          <w:sz w:val="28"/>
          <w:szCs w:val="28"/>
          <w:lang w:eastAsia="en-GB"/>
        </w:rPr>
        <w:t xml:space="preserve"> </w:t>
      </w:r>
      <w:r w:rsidR="009216AE" w:rsidRPr="00A50D6E">
        <w:rPr>
          <w:rFonts w:ascii="Century Gothic" w:eastAsia="Times New Roman" w:hAnsi="Century Gothic" w:cs="Segoe UI"/>
          <w:sz w:val="28"/>
          <w:szCs w:val="28"/>
          <w:lang w:eastAsia="en-GB"/>
        </w:rPr>
        <w:br/>
        <w:t xml:space="preserve">Although transitions are a responsibility of the whole staff team, the </w:t>
      </w:r>
      <w:r w:rsidRPr="00A50D6E">
        <w:rPr>
          <w:rFonts w:ascii="Century Gothic" w:eastAsia="Times New Roman" w:hAnsi="Century Gothic" w:cs="Segoe UI"/>
          <w:sz w:val="28"/>
          <w:szCs w:val="28"/>
          <w:lang w:eastAsia="en-GB"/>
        </w:rPr>
        <w:t xml:space="preserve">transition lead </w:t>
      </w:r>
      <w:r w:rsidR="009216AE" w:rsidRPr="00A50D6E">
        <w:rPr>
          <w:rFonts w:ascii="Century Gothic" w:eastAsia="Times New Roman" w:hAnsi="Century Gothic" w:cs="Segoe UI"/>
          <w:sz w:val="28"/>
          <w:szCs w:val="28"/>
          <w:lang w:eastAsia="en-GB"/>
        </w:rPr>
        <w:t>oversees the welfare of children during transitions</w:t>
      </w:r>
      <w:r w:rsidRPr="00A50D6E">
        <w:rPr>
          <w:rFonts w:ascii="Century Gothic" w:eastAsia="Times New Roman" w:hAnsi="Century Gothic" w:cs="Segoe UI"/>
          <w:sz w:val="28"/>
          <w:szCs w:val="28"/>
          <w:lang w:eastAsia="en-GB"/>
        </w:rPr>
        <w:t xml:space="preserve">. </w:t>
      </w:r>
    </w:p>
    <w:p w14:paraId="638AC899" w14:textId="77777777" w:rsidR="009216AE" w:rsidRPr="00A50D6E" w:rsidRDefault="00000000" w:rsidP="009216AE">
      <w:pPr>
        <w:rPr>
          <w:rFonts w:ascii="Century Gothic" w:eastAsia="Times New Roman" w:hAnsi="Century Gothic" w:cs="Segoe UI"/>
          <w:sz w:val="28"/>
          <w:szCs w:val="28"/>
          <w:lang w:eastAsia="en-GB"/>
        </w:rPr>
      </w:pPr>
      <w:r w:rsidRPr="00A50D6E">
        <w:rPr>
          <w:rFonts w:ascii="Century Gothic" w:eastAsia="Times New Roman" w:hAnsi="Century Gothic" w:cs="Segoe UI"/>
          <w:noProof/>
          <w:sz w:val="28"/>
          <w:szCs w:val="28"/>
          <w:lang w:eastAsia="en-GB"/>
        </w:rPr>
        <w:pict w14:anchorId="1ACA24F5">
          <v:rect id="_x0000_i1025" alt="" style="width:450.85pt;height:.05pt;mso-width-percent:0;mso-height-percent:0;mso-width-percent:0;mso-height-percent:0" o:hrpct="999" o:hralign="center" o:hrstd="t" o:hr="t" fillcolor="#a0a0a0" stroked="f"/>
        </w:pict>
      </w:r>
    </w:p>
    <w:p w14:paraId="5E3E77E3" w14:textId="77777777" w:rsidR="009216AE" w:rsidRPr="00A50D6E" w:rsidRDefault="009216AE" w:rsidP="009216AE">
      <w:pPr>
        <w:spacing w:before="100" w:beforeAutospacing="1" w:after="100" w:afterAutospacing="1"/>
        <w:outlineLvl w:val="2"/>
        <w:rPr>
          <w:rFonts w:ascii="Century Gothic" w:eastAsia="Times New Roman" w:hAnsi="Century Gothic" w:cs="Segoe UI"/>
          <w:b/>
          <w:bCs/>
          <w:sz w:val="28"/>
          <w:szCs w:val="28"/>
          <w:lang w:eastAsia="en-GB"/>
        </w:rPr>
      </w:pPr>
      <w:r w:rsidRPr="00A50D6E">
        <w:rPr>
          <w:rFonts w:ascii="Century Gothic" w:eastAsia="Times New Roman" w:hAnsi="Century Gothic" w:cs="Segoe UI"/>
          <w:b/>
          <w:bCs/>
          <w:sz w:val="28"/>
          <w:szCs w:val="28"/>
          <w:lang w:eastAsia="en-GB"/>
        </w:rPr>
        <w:t>Implementation of the EYFS 2025 Transition Requirements</w:t>
      </w:r>
    </w:p>
    <w:p w14:paraId="1D8A254B"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1. Understanding Transitions</w:t>
      </w:r>
      <w:r w:rsidRPr="00A50D6E">
        <w:rPr>
          <w:rFonts w:ascii="Century Gothic" w:eastAsia="Times New Roman" w:hAnsi="Century Gothic" w:cs="Segoe UI"/>
          <w:sz w:val="28"/>
          <w:szCs w:val="28"/>
          <w:lang w:eastAsia="en-GB"/>
        </w:rPr>
        <w:br/>
        <w:t>Transitions may include:</w:t>
      </w:r>
    </w:p>
    <w:p w14:paraId="57C58251" w14:textId="77777777" w:rsidR="009216AE" w:rsidRPr="00A50D6E" w:rsidRDefault="009216AE" w:rsidP="009216AE">
      <w:pPr>
        <w:numPr>
          <w:ilvl w:val="0"/>
          <w:numId w:val="22"/>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Moving between home and the setting.</w:t>
      </w:r>
    </w:p>
    <w:p w14:paraId="60A0CA91" w14:textId="77777777" w:rsidR="009216AE" w:rsidRPr="00A50D6E" w:rsidRDefault="009216AE" w:rsidP="009216AE">
      <w:pPr>
        <w:numPr>
          <w:ilvl w:val="0"/>
          <w:numId w:val="22"/>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lastRenderedPageBreak/>
        <w:t>Moving to another early years setting.</w:t>
      </w:r>
    </w:p>
    <w:p w14:paraId="1387F46B" w14:textId="77777777" w:rsidR="009216AE" w:rsidRPr="00A50D6E" w:rsidRDefault="009216AE" w:rsidP="009216AE">
      <w:pPr>
        <w:numPr>
          <w:ilvl w:val="0"/>
          <w:numId w:val="22"/>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Transitioning from early years into school.</w:t>
      </w:r>
    </w:p>
    <w:p w14:paraId="61B87B3F"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recognise that each child’s experience is unique, and our approach is tailored to individual needs, developmental stage, and family circumstances.</w:t>
      </w:r>
    </w:p>
    <w:p w14:paraId="7D5CF993"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2. Partnership with Parents and Carers</w:t>
      </w:r>
      <w:r w:rsidRPr="00A50D6E">
        <w:rPr>
          <w:rFonts w:ascii="Century Gothic" w:eastAsia="Times New Roman" w:hAnsi="Century Gothic" w:cs="Segoe UI"/>
          <w:sz w:val="28"/>
          <w:szCs w:val="28"/>
          <w:lang w:eastAsia="en-GB"/>
        </w:rPr>
        <w:br/>
        <w:t>We work in close partnership with parents to ensure they are actively involved in their child’s transition. This includes:</w:t>
      </w:r>
    </w:p>
    <w:p w14:paraId="72DF667F" w14:textId="77777777" w:rsidR="009216AE" w:rsidRPr="00A50D6E" w:rsidRDefault="009216AE" w:rsidP="009216AE">
      <w:pPr>
        <w:numPr>
          <w:ilvl w:val="0"/>
          <w:numId w:val="23"/>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Sharing information on routines, interests, and needs.</w:t>
      </w:r>
    </w:p>
    <w:p w14:paraId="7F6C1E21" w14:textId="77777777" w:rsidR="009216AE" w:rsidRPr="00A50D6E" w:rsidRDefault="009216AE" w:rsidP="009216AE">
      <w:pPr>
        <w:numPr>
          <w:ilvl w:val="0"/>
          <w:numId w:val="23"/>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Providing opportunities to discuss concerns and expectations.</w:t>
      </w:r>
    </w:p>
    <w:p w14:paraId="5CB54747" w14:textId="744F9DA4" w:rsidR="009216AE" w:rsidRPr="00A50D6E" w:rsidRDefault="009216AE" w:rsidP="00175D55">
      <w:pPr>
        <w:numPr>
          <w:ilvl w:val="0"/>
          <w:numId w:val="23"/>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Encouraging home visits or settling-in sessions where appropriate.</w:t>
      </w:r>
    </w:p>
    <w:p w14:paraId="317C6149" w14:textId="0B638E9C" w:rsidR="009216AE" w:rsidRPr="00A50D6E" w:rsidRDefault="00175D55"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3</w:t>
      </w:r>
      <w:r w:rsidR="009216AE" w:rsidRPr="00A50D6E">
        <w:rPr>
          <w:rFonts w:ascii="Century Gothic" w:eastAsia="Times New Roman" w:hAnsi="Century Gothic" w:cs="Segoe UI"/>
          <w:b/>
          <w:bCs/>
          <w:sz w:val="28"/>
          <w:szCs w:val="28"/>
          <w:lang w:eastAsia="en-GB"/>
        </w:rPr>
        <w:t>. Moving to Another Setting (External Transitions)</w:t>
      </w:r>
      <w:r w:rsidR="009216AE" w:rsidRPr="00A50D6E">
        <w:rPr>
          <w:rFonts w:ascii="Century Gothic" w:eastAsia="Times New Roman" w:hAnsi="Century Gothic" w:cs="Segoe UI"/>
          <w:sz w:val="28"/>
          <w:szCs w:val="28"/>
          <w:lang w:eastAsia="en-GB"/>
        </w:rPr>
        <w:br/>
        <w:t xml:space="preserve">If a child moves to a different early </w:t>
      </w:r>
      <w:r w:rsidRPr="00A50D6E">
        <w:rPr>
          <w:rFonts w:ascii="Century Gothic" w:eastAsia="Times New Roman" w:hAnsi="Century Gothic" w:cs="Segoe UI"/>
          <w:sz w:val="28"/>
          <w:szCs w:val="28"/>
          <w:lang w:eastAsia="en-GB"/>
        </w:rPr>
        <w:t>year’s</w:t>
      </w:r>
      <w:r w:rsidR="009216AE" w:rsidRPr="00A50D6E">
        <w:rPr>
          <w:rFonts w:ascii="Century Gothic" w:eastAsia="Times New Roman" w:hAnsi="Century Gothic" w:cs="Segoe UI"/>
          <w:sz w:val="28"/>
          <w:szCs w:val="28"/>
          <w:lang w:eastAsia="en-GB"/>
        </w:rPr>
        <w:t xml:space="preserve"> provider:</w:t>
      </w:r>
    </w:p>
    <w:p w14:paraId="0BACF5FB" w14:textId="77777777" w:rsidR="009216AE" w:rsidRPr="00A50D6E" w:rsidRDefault="009216AE" w:rsidP="009216AE">
      <w:pPr>
        <w:numPr>
          <w:ilvl w:val="0"/>
          <w:numId w:val="25"/>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liaise with the new setting to share developmental progress and safeguarding information, with parental consent.</w:t>
      </w:r>
    </w:p>
    <w:p w14:paraId="0565441A" w14:textId="77777777" w:rsidR="009216AE" w:rsidRPr="00A50D6E" w:rsidRDefault="009216AE" w:rsidP="009216AE">
      <w:pPr>
        <w:numPr>
          <w:ilvl w:val="0"/>
          <w:numId w:val="25"/>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provide transition reports summarising the child’s interests, achievements, and next steps.</w:t>
      </w:r>
    </w:p>
    <w:p w14:paraId="18F2497A" w14:textId="77777777" w:rsidR="009216AE" w:rsidRPr="00A50D6E" w:rsidRDefault="009216AE" w:rsidP="009216AE">
      <w:pPr>
        <w:numPr>
          <w:ilvl w:val="0"/>
          <w:numId w:val="25"/>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Parents are supported in preparing their child emotionally and practically for the change.</w:t>
      </w:r>
    </w:p>
    <w:p w14:paraId="21F9915B"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5. Moving into School</w:t>
      </w:r>
      <w:r w:rsidRPr="00A50D6E">
        <w:rPr>
          <w:rFonts w:ascii="Century Gothic" w:eastAsia="Times New Roman" w:hAnsi="Century Gothic" w:cs="Segoe UI"/>
          <w:sz w:val="28"/>
          <w:szCs w:val="28"/>
          <w:lang w:eastAsia="en-GB"/>
        </w:rPr>
        <w:br/>
        <w:t>To support school readiness and successful transition into Reception:</w:t>
      </w:r>
    </w:p>
    <w:p w14:paraId="7E4A2732" w14:textId="77777777" w:rsidR="009216AE" w:rsidRPr="00A50D6E" w:rsidRDefault="009216AE" w:rsidP="009216AE">
      <w:pPr>
        <w:numPr>
          <w:ilvl w:val="0"/>
          <w:numId w:val="26"/>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liaise with local schools to share progress summaries and safeguarding information in line with EYFS 2025 requirements.</w:t>
      </w:r>
    </w:p>
    <w:p w14:paraId="7DCEB2E1" w14:textId="77777777" w:rsidR="009216AE" w:rsidRPr="00A50D6E" w:rsidRDefault="009216AE" w:rsidP="009216AE">
      <w:pPr>
        <w:numPr>
          <w:ilvl w:val="0"/>
          <w:numId w:val="26"/>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invite Reception teachers to visit the child in our setting where possible.</w:t>
      </w:r>
    </w:p>
    <w:p w14:paraId="7DB15C8B" w14:textId="77777777" w:rsidR="009216AE" w:rsidRPr="00A50D6E" w:rsidRDefault="009216AE" w:rsidP="009216AE">
      <w:pPr>
        <w:numPr>
          <w:ilvl w:val="0"/>
          <w:numId w:val="26"/>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support children through role play, stories, and discussions about school.</w:t>
      </w:r>
    </w:p>
    <w:p w14:paraId="1838359D" w14:textId="77777777" w:rsidR="009216AE" w:rsidRPr="00A50D6E" w:rsidRDefault="009216AE" w:rsidP="009216AE">
      <w:pPr>
        <w:numPr>
          <w:ilvl w:val="0"/>
          <w:numId w:val="26"/>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encourage the development of independence skills (e.g., self-care, dressing, toileting, communication) in preparation for school.</w:t>
      </w:r>
    </w:p>
    <w:p w14:paraId="37E965AA" w14:textId="266EA485" w:rsidR="00175D55" w:rsidRPr="00A50D6E" w:rsidRDefault="00175D55" w:rsidP="009216AE">
      <w:pPr>
        <w:numPr>
          <w:ilvl w:val="0"/>
          <w:numId w:val="26"/>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lastRenderedPageBreak/>
        <w:t>We have our Rising 5s activities which are short and sweet activities to ensure school readiness.</w:t>
      </w:r>
    </w:p>
    <w:p w14:paraId="3F6D77EA"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6. Key Person Role</w:t>
      </w:r>
      <w:r w:rsidRPr="00A50D6E">
        <w:rPr>
          <w:rFonts w:ascii="Century Gothic" w:eastAsia="Times New Roman" w:hAnsi="Century Gothic" w:cs="Segoe UI"/>
          <w:sz w:val="28"/>
          <w:szCs w:val="28"/>
          <w:lang w:eastAsia="en-GB"/>
        </w:rPr>
        <w:br/>
        <w:t>The key person has a central role in transitions by:</w:t>
      </w:r>
    </w:p>
    <w:p w14:paraId="659E2878" w14:textId="77777777" w:rsidR="009216AE" w:rsidRPr="00A50D6E" w:rsidRDefault="009216AE" w:rsidP="009216AE">
      <w:pPr>
        <w:numPr>
          <w:ilvl w:val="0"/>
          <w:numId w:val="27"/>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Providing emotional support and reassurance.</w:t>
      </w:r>
    </w:p>
    <w:p w14:paraId="7F8362F9" w14:textId="77777777" w:rsidR="009216AE" w:rsidRPr="00A50D6E" w:rsidRDefault="009216AE" w:rsidP="009216AE">
      <w:pPr>
        <w:numPr>
          <w:ilvl w:val="0"/>
          <w:numId w:val="27"/>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Acting as a consistent point of contact for the child and family.</w:t>
      </w:r>
    </w:p>
    <w:p w14:paraId="6E78F36C" w14:textId="77777777" w:rsidR="009216AE" w:rsidRPr="00A50D6E" w:rsidRDefault="009216AE" w:rsidP="009216AE">
      <w:pPr>
        <w:numPr>
          <w:ilvl w:val="0"/>
          <w:numId w:val="27"/>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Sharing knowledge of the child’s development with colleagues, schools, or new providers.</w:t>
      </w:r>
    </w:p>
    <w:p w14:paraId="311F77F0"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b/>
          <w:bCs/>
          <w:sz w:val="28"/>
          <w:szCs w:val="28"/>
          <w:lang w:eastAsia="en-GB"/>
        </w:rPr>
        <w:t>7. Supporting Children’s Emotional Well-being</w:t>
      </w:r>
      <w:r w:rsidRPr="00A50D6E">
        <w:rPr>
          <w:rFonts w:ascii="Century Gothic" w:eastAsia="Times New Roman" w:hAnsi="Century Gothic" w:cs="Segoe UI"/>
          <w:sz w:val="28"/>
          <w:szCs w:val="28"/>
          <w:lang w:eastAsia="en-GB"/>
        </w:rPr>
        <w:br/>
        <w:t>Transitions can be unsettling for children. To minimise stress and anxiety:</w:t>
      </w:r>
    </w:p>
    <w:p w14:paraId="1F48F5DA" w14:textId="77777777" w:rsidR="009216AE" w:rsidRPr="00A50D6E" w:rsidRDefault="009216AE" w:rsidP="009216AE">
      <w:pPr>
        <w:numPr>
          <w:ilvl w:val="0"/>
          <w:numId w:val="28"/>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provide consistency in routines where possible.</w:t>
      </w:r>
    </w:p>
    <w:p w14:paraId="4D0C607F" w14:textId="77777777" w:rsidR="009216AE" w:rsidRPr="00A50D6E" w:rsidRDefault="009216AE" w:rsidP="009216AE">
      <w:pPr>
        <w:numPr>
          <w:ilvl w:val="0"/>
          <w:numId w:val="28"/>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listen to children’s thoughts and feelings about changes.</w:t>
      </w:r>
    </w:p>
    <w:p w14:paraId="6EDEB9BB" w14:textId="77777777" w:rsidR="009216AE" w:rsidRPr="00A50D6E" w:rsidRDefault="009216AE" w:rsidP="009216AE">
      <w:pPr>
        <w:numPr>
          <w:ilvl w:val="0"/>
          <w:numId w:val="28"/>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We use visual aids, books, and activities to help children understand transitions.</w:t>
      </w:r>
    </w:p>
    <w:p w14:paraId="718833B7" w14:textId="77777777" w:rsidR="009216AE" w:rsidRPr="00A50D6E" w:rsidRDefault="00000000" w:rsidP="009216AE">
      <w:pPr>
        <w:rPr>
          <w:rFonts w:ascii="Century Gothic" w:eastAsia="Times New Roman" w:hAnsi="Century Gothic" w:cs="Segoe UI"/>
          <w:sz w:val="28"/>
          <w:szCs w:val="28"/>
          <w:lang w:eastAsia="en-GB"/>
        </w:rPr>
      </w:pPr>
      <w:r w:rsidRPr="00A50D6E">
        <w:rPr>
          <w:rFonts w:ascii="Century Gothic" w:eastAsia="Times New Roman" w:hAnsi="Century Gothic" w:cs="Segoe UI"/>
          <w:noProof/>
          <w:sz w:val="28"/>
          <w:szCs w:val="28"/>
          <w:lang w:eastAsia="en-GB"/>
        </w:rPr>
        <w:pict w14:anchorId="57F8964E">
          <v:rect id="_x0000_i1026" alt="" style="width:450.85pt;height:.05pt;mso-width-percent:0;mso-height-percent:0;mso-width-percent:0;mso-height-percent:0" o:hrpct="999" o:hralign="center" o:hrstd="t" o:hr="t" fillcolor="#a0a0a0" stroked="f"/>
        </w:pict>
      </w:r>
    </w:p>
    <w:p w14:paraId="1134EC31" w14:textId="77777777" w:rsidR="009216AE" w:rsidRPr="00A50D6E" w:rsidRDefault="009216AE" w:rsidP="009216AE">
      <w:pPr>
        <w:spacing w:before="100" w:beforeAutospacing="1" w:after="100" w:afterAutospacing="1"/>
        <w:outlineLvl w:val="2"/>
        <w:rPr>
          <w:rFonts w:ascii="Century Gothic" w:eastAsia="Times New Roman" w:hAnsi="Century Gothic" w:cs="Segoe UI"/>
          <w:b/>
          <w:bCs/>
          <w:sz w:val="28"/>
          <w:szCs w:val="28"/>
          <w:lang w:eastAsia="en-GB"/>
        </w:rPr>
      </w:pPr>
      <w:r w:rsidRPr="00A50D6E">
        <w:rPr>
          <w:rFonts w:ascii="Century Gothic" w:eastAsia="Times New Roman" w:hAnsi="Century Gothic" w:cs="Segoe UI"/>
          <w:b/>
          <w:bCs/>
          <w:sz w:val="28"/>
          <w:szCs w:val="28"/>
          <w:lang w:eastAsia="en-GB"/>
        </w:rPr>
        <w:t>Record Keeping and Information Sharing</w:t>
      </w:r>
    </w:p>
    <w:p w14:paraId="3655DF41" w14:textId="77777777" w:rsidR="009216AE" w:rsidRPr="00A50D6E" w:rsidRDefault="009216AE" w:rsidP="009216AE">
      <w:pPr>
        <w:numPr>
          <w:ilvl w:val="0"/>
          <w:numId w:val="29"/>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Developmental records and progress summaries are shared with new settings and schools, with parental consent.</w:t>
      </w:r>
    </w:p>
    <w:p w14:paraId="17629715" w14:textId="77777777" w:rsidR="009216AE" w:rsidRPr="00A50D6E" w:rsidRDefault="009216AE" w:rsidP="009216AE">
      <w:pPr>
        <w:numPr>
          <w:ilvl w:val="0"/>
          <w:numId w:val="29"/>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Information is transferred securely and in line with GDPR requirements.</w:t>
      </w:r>
    </w:p>
    <w:p w14:paraId="3C4ACBA2" w14:textId="77777777" w:rsidR="009216AE" w:rsidRPr="00A50D6E" w:rsidRDefault="009216AE" w:rsidP="009216AE">
      <w:pPr>
        <w:numPr>
          <w:ilvl w:val="0"/>
          <w:numId w:val="29"/>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Parents are informed of what information will be shared and why.</w:t>
      </w:r>
    </w:p>
    <w:p w14:paraId="1C72D8E0" w14:textId="77777777" w:rsidR="009216AE" w:rsidRPr="00A50D6E" w:rsidRDefault="00000000" w:rsidP="009216AE">
      <w:pPr>
        <w:rPr>
          <w:rFonts w:ascii="Century Gothic" w:eastAsia="Times New Roman" w:hAnsi="Century Gothic" w:cs="Segoe UI"/>
          <w:sz w:val="28"/>
          <w:szCs w:val="28"/>
          <w:lang w:eastAsia="en-GB"/>
        </w:rPr>
      </w:pPr>
      <w:r w:rsidRPr="00A50D6E">
        <w:rPr>
          <w:rFonts w:ascii="Century Gothic" w:eastAsia="Times New Roman" w:hAnsi="Century Gothic" w:cs="Segoe UI"/>
          <w:noProof/>
          <w:sz w:val="28"/>
          <w:szCs w:val="28"/>
          <w:lang w:eastAsia="en-GB"/>
        </w:rPr>
        <w:pict w14:anchorId="76AB1D3A">
          <v:rect id="_x0000_i1027" alt="" style="width:450.85pt;height:.05pt;mso-width-percent:0;mso-height-percent:0;mso-width-percent:0;mso-height-percent:0" o:hrpct="999" o:hralign="center" o:hrstd="t" o:hr="t" fillcolor="#a0a0a0" stroked="f"/>
        </w:pict>
      </w:r>
    </w:p>
    <w:p w14:paraId="7CF6C6BD" w14:textId="77777777" w:rsidR="009216AE" w:rsidRPr="00A50D6E" w:rsidRDefault="009216AE" w:rsidP="009216AE">
      <w:pPr>
        <w:spacing w:before="100" w:beforeAutospacing="1" w:after="100" w:afterAutospacing="1"/>
        <w:outlineLvl w:val="2"/>
        <w:rPr>
          <w:rFonts w:ascii="Century Gothic" w:eastAsia="Times New Roman" w:hAnsi="Century Gothic" w:cs="Segoe UI"/>
          <w:b/>
          <w:bCs/>
          <w:sz w:val="28"/>
          <w:szCs w:val="28"/>
          <w:lang w:eastAsia="en-GB"/>
        </w:rPr>
      </w:pPr>
      <w:r w:rsidRPr="00A50D6E">
        <w:rPr>
          <w:rFonts w:ascii="Century Gothic" w:eastAsia="Times New Roman" w:hAnsi="Century Gothic" w:cs="Segoe UI"/>
          <w:b/>
          <w:bCs/>
          <w:sz w:val="28"/>
          <w:szCs w:val="28"/>
          <w:lang w:eastAsia="en-GB"/>
        </w:rPr>
        <w:t>Monitoring and Review</w:t>
      </w:r>
    </w:p>
    <w:p w14:paraId="223337CC" w14:textId="77777777"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This policy will be reviewed annually, or sooner if statutory guidance changes. Staff, parents, and partner settings are invited to contribute feedback to ensure continuous improvement of transition practices.</w:t>
      </w:r>
    </w:p>
    <w:p w14:paraId="21F05FC2" w14:textId="3DB69E5D" w:rsidR="009216AE" w:rsidRPr="00A50D6E" w:rsidRDefault="009216AE" w:rsidP="009216AE">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lastRenderedPageBreak/>
        <w:t xml:space="preserve">Signed: </w:t>
      </w:r>
      <w:r w:rsidR="00175D55" w:rsidRPr="00A50D6E">
        <w:rPr>
          <w:rFonts w:ascii="Century Gothic" w:eastAsia="Times New Roman" w:hAnsi="Century Gothic" w:cs="Segoe UI"/>
          <w:sz w:val="28"/>
          <w:szCs w:val="28"/>
          <w:lang w:eastAsia="en-GB"/>
        </w:rPr>
        <w:t>Natasha Taylor</w:t>
      </w:r>
      <w:r w:rsidRPr="00A50D6E">
        <w:rPr>
          <w:rFonts w:ascii="Century Gothic" w:eastAsia="Times New Roman" w:hAnsi="Century Gothic" w:cs="Segoe UI"/>
          <w:sz w:val="28"/>
          <w:szCs w:val="28"/>
          <w:lang w:eastAsia="en-GB"/>
        </w:rPr>
        <w:br/>
        <w:t xml:space="preserve">Date: </w:t>
      </w:r>
      <w:r w:rsidR="00175D55" w:rsidRPr="00A50D6E">
        <w:rPr>
          <w:rFonts w:ascii="Century Gothic" w:eastAsia="Times New Roman" w:hAnsi="Century Gothic" w:cs="Segoe UI"/>
          <w:sz w:val="28"/>
          <w:szCs w:val="28"/>
          <w:lang w:eastAsia="en-GB"/>
        </w:rPr>
        <w:t>19</w:t>
      </w:r>
      <w:r w:rsidR="00175D55" w:rsidRPr="00A50D6E">
        <w:rPr>
          <w:rFonts w:ascii="Century Gothic" w:eastAsia="Times New Roman" w:hAnsi="Century Gothic" w:cs="Segoe UI"/>
          <w:sz w:val="28"/>
          <w:szCs w:val="28"/>
          <w:vertAlign w:val="superscript"/>
          <w:lang w:eastAsia="en-GB"/>
        </w:rPr>
        <w:t>th</w:t>
      </w:r>
      <w:r w:rsidR="00175D55" w:rsidRPr="00A50D6E">
        <w:rPr>
          <w:rFonts w:ascii="Century Gothic" w:eastAsia="Times New Roman" w:hAnsi="Century Gothic" w:cs="Segoe UI"/>
          <w:sz w:val="28"/>
          <w:szCs w:val="28"/>
          <w:lang w:eastAsia="en-GB"/>
        </w:rPr>
        <w:t xml:space="preserve"> January 2026.</w:t>
      </w:r>
    </w:p>
    <w:p w14:paraId="1D96565E" w14:textId="77777777" w:rsidR="009216AE" w:rsidRPr="00A50D6E" w:rsidRDefault="00000000" w:rsidP="009216AE">
      <w:pPr>
        <w:rPr>
          <w:rFonts w:ascii="Century Gothic" w:eastAsia="Times New Roman" w:hAnsi="Century Gothic" w:cs="Segoe UI"/>
          <w:sz w:val="28"/>
          <w:szCs w:val="28"/>
          <w:lang w:eastAsia="en-GB"/>
        </w:rPr>
      </w:pPr>
      <w:r w:rsidRPr="00A50D6E">
        <w:rPr>
          <w:rFonts w:ascii="Century Gothic" w:eastAsia="Times New Roman" w:hAnsi="Century Gothic" w:cs="Segoe UI"/>
          <w:noProof/>
          <w:sz w:val="28"/>
          <w:szCs w:val="28"/>
          <w:lang w:eastAsia="en-GB"/>
        </w:rPr>
        <w:pict w14:anchorId="1D8D33AE">
          <v:rect id="_x0000_i1028" alt="" style="width:450.85pt;height:.05pt;mso-width-percent:0;mso-height-percent:0;mso-width-percent:0;mso-height-percent:0" o:hrpct="999" o:hralign="center" o:hrstd="t" o:hr="t" fillcolor="#a0a0a0" stroked="f"/>
        </w:pict>
      </w:r>
    </w:p>
    <w:p w14:paraId="162585A7" w14:textId="77777777" w:rsidR="00175D55" w:rsidRPr="00A50D6E" w:rsidRDefault="00175D55" w:rsidP="009216AE">
      <w:pPr>
        <w:spacing w:before="100" w:beforeAutospacing="1" w:after="100" w:afterAutospacing="1"/>
        <w:outlineLvl w:val="2"/>
        <w:rPr>
          <w:rFonts w:ascii="Century Gothic" w:eastAsia="Times New Roman" w:hAnsi="Century Gothic" w:cs="Segoe UI"/>
          <w:b/>
          <w:bCs/>
          <w:sz w:val="28"/>
          <w:szCs w:val="28"/>
          <w:lang w:eastAsia="en-GB"/>
        </w:rPr>
      </w:pPr>
    </w:p>
    <w:p w14:paraId="2B7C132A" w14:textId="21E62BA8" w:rsidR="009216AE" w:rsidRPr="00A50D6E" w:rsidRDefault="009216AE" w:rsidP="009216AE">
      <w:pPr>
        <w:spacing w:before="100" w:beforeAutospacing="1" w:after="100" w:afterAutospacing="1"/>
        <w:outlineLvl w:val="2"/>
        <w:rPr>
          <w:rFonts w:ascii="Century Gothic" w:eastAsia="Times New Roman" w:hAnsi="Century Gothic" w:cs="Segoe UI"/>
          <w:b/>
          <w:bCs/>
          <w:sz w:val="28"/>
          <w:szCs w:val="28"/>
          <w:lang w:eastAsia="en-GB"/>
        </w:rPr>
      </w:pPr>
      <w:r w:rsidRPr="00A50D6E">
        <w:rPr>
          <w:rFonts w:ascii="Century Gothic" w:eastAsia="Times New Roman" w:hAnsi="Century Gothic" w:cs="Segoe UI"/>
          <w:b/>
          <w:bCs/>
          <w:sz w:val="28"/>
          <w:szCs w:val="28"/>
          <w:lang w:eastAsia="en-GB"/>
        </w:rPr>
        <w:t>References</w:t>
      </w:r>
    </w:p>
    <w:p w14:paraId="51F802E1" w14:textId="77777777" w:rsidR="009216AE" w:rsidRPr="00A50D6E" w:rsidRDefault="009216AE" w:rsidP="009216AE">
      <w:pPr>
        <w:numPr>
          <w:ilvl w:val="0"/>
          <w:numId w:val="30"/>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 xml:space="preserve">Department for Education (2025). </w:t>
      </w:r>
      <w:r w:rsidRPr="00A50D6E">
        <w:rPr>
          <w:rFonts w:ascii="Century Gothic" w:eastAsia="Times New Roman" w:hAnsi="Century Gothic" w:cs="Segoe UI"/>
          <w:i/>
          <w:iCs/>
          <w:sz w:val="28"/>
          <w:szCs w:val="28"/>
          <w:lang w:eastAsia="en-GB"/>
        </w:rPr>
        <w:t>Statutory Framework for the Early Years Foundation Stage: Setting the standards for learning, development and care for children from birth to five.</w:t>
      </w:r>
      <w:r w:rsidRPr="00A50D6E">
        <w:rPr>
          <w:rFonts w:ascii="Century Gothic" w:eastAsia="Times New Roman" w:hAnsi="Century Gothic" w:cs="Segoe UI"/>
          <w:sz w:val="28"/>
          <w:szCs w:val="28"/>
          <w:lang w:eastAsia="en-GB"/>
        </w:rPr>
        <w:t xml:space="preserve"> London: DfE.</w:t>
      </w:r>
    </w:p>
    <w:p w14:paraId="32935CA9" w14:textId="77777777" w:rsidR="009216AE" w:rsidRPr="00A50D6E" w:rsidRDefault="009216AE" w:rsidP="009216AE">
      <w:pPr>
        <w:numPr>
          <w:ilvl w:val="0"/>
          <w:numId w:val="30"/>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 xml:space="preserve">Department for Education (2021). </w:t>
      </w:r>
      <w:r w:rsidRPr="00A50D6E">
        <w:rPr>
          <w:rFonts w:ascii="Century Gothic" w:eastAsia="Times New Roman" w:hAnsi="Century Gothic" w:cs="Segoe UI"/>
          <w:i/>
          <w:iCs/>
          <w:sz w:val="28"/>
          <w:szCs w:val="28"/>
          <w:lang w:eastAsia="en-GB"/>
        </w:rPr>
        <w:t>Development Matters: Non-statutory curriculum guidance for the Early Years Foundation Stage.</w:t>
      </w:r>
      <w:r w:rsidRPr="00A50D6E">
        <w:rPr>
          <w:rFonts w:ascii="Century Gothic" w:eastAsia="Times New Roman" w:hAnsi="Century Gothic" w:cs="Segoe UI"/>
          <w:sz w:val="28"/>
          <w:szCs w:val="28"/>
          <w:lang w:eastAsia="en-GB"/>
        </w:rPr>
        <w:t xml:space="preserve"> London: DfE.</w:t>
      </w:r>
    </w:p>
    <w:p w14:paraId="5A56A0F3" w14:textId="77777777" w:rsidR="009216AE" w:rsidRPr="00A50D6E" w:rsidRDefault="009216AE" w:rsidP="009216AE">
      <w:pPr>
        <w:numPr>
          <w:ilvl w:val="0"/>
          <w:numId w:val="30"/>
        </w:num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 xml:space="preserve">HM Government (2018, updated). </w:t>
      </w:r>
      <w:r w:rsidRPr="00A50D6E">
        <w:rPr>
          <w:rFonts w:ascii="Century Gothic" w:eastAsia="Times New Roman" w:hAnsi="Century Gothic" w:cs="Segoe UI"/>
          <w:i/>
          <w:iCs/>
          <w:sz w:val="28"/>
          <w:szCs w:val="28"/>
          <w:lang w:eastAsia="en-GB"/>
        </w:rPr>
        <w:t>Working Together to Safeguard Children.</w:t>
      </w:r>
      <w:r w:rsidRPr="00A50D6E">
        <w:rPr>
          <w:rFonts w:ascii="Century Gothic" w:eastAsia="Times New Roman" w:hAnsi="Century Gothic" w:cs="Segoe UI"/>
          <w:sz w:val="28"/>
          <w:szCs w:val="28"/>
          <w:lang w:eastAsia="en-GB"/>
        </w:rPr>
        <w:t xml:space="preserve"> London: HMSO.</w:t>
      </w:r>
    </w:p>
    <w:p w14:paraId="66F48EFA" w14:textId="77777777" w:rsidR="00175D55" w:rsidRPr="00A50D6E" w:rsidRDefault="00175D55" w:rsidP="00175D55">
      <w:pPr>
        <w:spacing w:before="100" w:beforeAutospacing="1" w:after="100" w:afterAutospacing="1"/>
        <w:ind w:left="360"/>
        <w:rPr>
          <w:rFonts w:ascii="Century Gothic" w:eastAsia="Times New Roman" w:hAnsi="Century Gothic" w:cs="Segoe UI"/>
          <w:sz w:val="28"/>
          <w:szCs w:val="28"/>
          <w:lang w:eastAsia="en-GB"/>
        </w:rPr>
      </w:pPr>
    </w:p>
    <w:tbl>
      <w:tblPr>
        <w:tblStyle w:val="TableGrid"/>
        <w:tblW w:w="0" w:type="auto"/>
        <w:tblInd w:w="360" w:type="dxa"/>
        <w:tblLook w:val="04A0" w:firstRow="1" w:lastRow="0" w:firstColumn="1" w:lastColumn="0" w:noHBand="0" w:noVBand="1"/>
      </w:tblPr>
      <w:tblGrid>
        <w:gridCol w:w="4316"/>
        <w:gridCol w:w="4334"/>
      </w:tblGrid>
      <w:tr w:rsidR="00175D55" w:rsidRPr="00A50D6E" w14:paraId="5D72A206" w14:textId="77777777" w:rsidTr="00175D55">
        <w:tc>
          <w:tcPr>
            <w:tcW w:w="4505" w:type="dxa"/>
          </w:tcPr>
          <w:p w14:paraId="581FD21D" w14:textId="59852C1E"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Date of Review:</w:t>
            </w:r>
          </w:p>
        </w:tc>
        <w:tc>
          <w:tcPr>
            <w:tcW w:w="4505" w:type="dxa"/>
          </w:tcPr>
          <w:p w14:paraId="57CC8E0E" w14:textId="24C8294C"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r w:rsidRPr="00A50D6E">
              <w:rPr>
                <w:rFonts w:ascii="Century Gothic" w:eastAsia="Times New Roman" w:hAnsi="Century Gothic" w:cs="Segoe UI"/>
                <w:sz w:val="28"/>
                <w:szCs w:val="28"/>
                <w:lang w:eastAsia="en-GB"/>
              </w:rPr>
              <w:t>Reviewed By:</w:t>
            </w:r>
          </w:p>
        </w:tc>
      </w:tr>
      <w:tr w:rsidR="00175D55" w:rsidRPr="00A50D6E" w14:paraId="6C970427" w14:textId="77777777" w:rsidTr="00175D55">
        <w:tc>
          <w:tcPr>
            <w:tcW w:w="4505" w:type="dxa"/>
          </w:tcPr>
          <w:p w14:paraId="11BEB273"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c>
          <w:tcPr>
            <w:tcW w:w="4505" w:type="dxa"/>
          </w:tcPr>
          <w:p w14:paraId="5BD09954"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r>
      <w:tr w:rsidR="00175D55" w:rsidRPr="00A50D6E" w14:paraId="6A912AF2" w14:textId="77777777" w:rsidTr="00175D55">
        <w:tc>
          <w:tcPr>
            <w:tcW w:w="4505" w:type="dxa"/>
          </w:tcPr>
          <w:p w14:paraId="788747CC"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c>
          <w:tcPr>
            <w:tcW w:w="4505" w:type="dxa"/>
          </w:tcPr>
          <w:p w14:paraId="78DA5238"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r>
      <w:tr w:rsidR="00175D55" w:rsidRPr="00A50D6E" w14:paraId="14BBE47F" w14:textId="77777777" w:rsidTr="00175D55">
        <w:tc>
          <w:tcPr>
            <w:tcW w:w="4505" w:type="dxa"/>
          </w:tcPr>
          <w:p w14:paraId="5E2988D0"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c>
          <w:tcPr>
            <w:tcW w:w="4505" w:type="dxa"/>
          </w:tcPr>
          <w:p w14:paraId="7A7279E9"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r>
      <w:tr w:rsidR="00175D55" w:rsidRPr="00A50D6E" w14:paraId="6B56F94C" w14:textId="77777777" w:rsidTr="00175D55">
        <w:tc>
          <w:tcPr>
            <w:tcW w:w="4505" w:type="dxa"/>
          </w:tcPr>
          <w:p w14:paraId="07399190"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c>
          <w:tcPr>
            <w:tcW w:w="4505" w:type="dxa"/>
          </w:tcPr>
          <w:p w14:paraId="46920858"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r>
      <w:tr w:rsidR="00175D55" w:rsidRPr="00A50D6E" w14:paraId="273BC0AA" w14:textId="77777777" w:rsidTr="00175D55">
        <w:tc>
          <w:tcPr>
            <w:tcW w:w="4505" w:type="dxa"/>
          </w:tcPr>
          <w:p w14:paraId="02A6D6F1"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c>
          <w:tcPr>
            <w:tcW w:w="4505" w:type="dxa"/>
          </w:tcPr>
          <w:p w14:paraId="5590989E" w14:textId="77777777" w:rsidR="00175D55" w:rsidRPr="00A50D6E" w:rsidRDefault="00175D55" w:rsidP="00175D55">
            <w:pPr>
              <w:spacing w:before="100" w:beforeAutospacing="1" w:after="100" w:afterAutospacing="1"/>
              <w:rPr>
                <w:rFonts w:ascii="Century Gothic" w:eastAsia="Times New Roman" w:hAnsi="Century Gothic" w:cs="Segoe UI"/>
                <w:sz w:val="28"/>
                <w:szCs w:val="28"/>
                <w:lang w:eastAsia="en-GB"/>
              </w:rPr>
            </w:pPr>
          </w:p>
        </w:tc>
      </w:tr>
    </w:tbl>
    <w:p w14:paraId="4C03B216" w14:textId="77777777" w:rsidR="00175D55" w:rsidRPr="00A50D6E" w:rsidRDefault="00175D55" w:rsidP="00175D55">
      <w:pPr>
        <w:spacing w:before="100" w:beforeAutospacing="1" w:after="100" w:afterAutospacing="1"/>
        <w:ind w:left="360"/>
        <w:rPr>
          <w:rFonts w:ascii="Century Gothic" w:eastAsia="Times New Roman" w:hAnsi="Century Gothic" w:cs="Segoe UI"/>
          <w:sz w:val="28"/>
          <w:szCs w:val="28"/>
          <w:lang w:eastAsia="en-GB"/>
        </w:rPr>
      </w:pPr>
    </w:p>
    <w:p w14:paraId="386C37B6" w14:textId="38A392B2" w:rsidR="00517AF3" w:rsidRPr="00A50D6E" w:rsidRDefault="00517AF3" w:rsidP="009216AE">
      <w:pPr>
        <w:spacing w:before="100" w:beforeAutospacing="1" w:after="100" w:afterAutospacing="1"/>
        <w:rPr>
          <w:rFonts w:ascii="Century Gothic" w:eastAsia="Times New Roman" w:hAnsi="Century Gothic" w:cs="Segoe UI"/>
          <w:sz w:val="28"/>
          <w:szCs w:val="28"/>
          <w:lang w:eastAsia="en-GB"/>
        </w:rPr>
      </w:pPr>
    </w:p>
    <w:sectPr w:rsidR="00517AF3" w:rsidRPr="00A50D6E"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659F" w14:textId="77777777" w:rsidR="00BF2143" w:rsidRDefault="00BF2143" w:rsidP="00583AD3">
      <w:r>
        <w:separator/>
      </w:r>
    </w:p>
  </w:endnote>
  <w:endnote w:type="continuationSeparator" w:id="0">
    <w:p w14:paraId="7576585F" w14:textId="77777777" w:rsidR="00BF2143" w:rsidRDefault="00BF2143" w:rsidP="0058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2843" w14:textId="031D9F08" w:rsidR="00583AD3" w:rsidRDefault="00583AD3" w:rsidP="00583A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B16C" w14:textId="77777777" w:rsidR="00BF2143" w:rsidRDefault="00BF2143" w:rsidP="00583AD3">
      <w:r>
        <w:separator/>
      </w:r>
    </w:p>
  </w:footnote>
  <w:footnote w:type="continuationSeparator" w:id="0">
    <w:p w14:paraId="3680A63F" w14:textId="77777777" w:rsidR="00BF2143" w:rsidRDefault="00BF2143" w:rsidP="0058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080C39"/>
    <w:multiLevelType w:val="multilevel"/>
    <w:tmpl w:val="3984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B50EC"/>
    <w:multiLevelType w:val="multilevel"/>
    <w:tmpl w:val="4D8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D4C6E"/>
    <w:multiLevelType w:val="multilevel"/>
    <w:tmpl w:val="9EA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D592B"/>
    <w:multiLevelType w:val="multilevel"/>
    <w:tmpl w:val="121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B4F66"/>
    <w:multiLevelType w:val="multilevel"/>
    <w:tmpl w:val="7A8A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B732D"/>
    <w:multiLevelType w:val="multilevel"/>
    <w:tmpl w:val="BF48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8328F"/>
    <w:multiLevelType w:val="multilevel"/>
    <w:tmpl w:val="B0C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77F59"/>
    <w:multiLevelType w:val="multilevel"/>
    <w:tmpl w:val="B148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E513E"/>
    <w:multiLevelType w:val="multilevel"/>
    <w:tmpl w:val="F826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3F04"/>
    <w:multiLevelType w:val="multilevel"/>
    <w:tmpl w:val="75AC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30812"/>
    <w:multiLevelType w:val="multilevel"/>
    <w:tmpl w:val="9C0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E3086"/>
    <w:multiLevelType w:val="multilevel"/>
    <w:tmpl w:val="6C8C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62BB5"/>
    <w:multiLevelType w:val="multilevel"/>
    <w:tmpl w:val="F9E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674FC"/>
    <w:multiLevelType w:val="multilevel"/>
    <w:tmpl w:val="934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A32D6"/>
    <w:multiLevelType w:val="multilevel"/>
    <w:tmpl w:val="FF50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2541D"/>
    <w:multiLevelType w:val="multilevel"/>
    <w:tmpl w:val="222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E16EE"/>
    <w:multiLevelType w:val="multilevel"/>
    <w:tmpl w:val="DB9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55EB3"/>
    <w:multiLevelType w:val="multilevel"/>
    <w:tmpl w:val="AB76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F0D2B"/>
    <w:multiLevelType w:val="multilevel"/>
    <w:tmpl w:val="B78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54451"/>
    <w:multiLevelType w:val="multilevel"/>
    <w:tmpl w:val="3060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6196E"/>
    <w:multiLevelType w:val="multilevel"/>
    <w:tmpl w:val="71BA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43A54"/>
    <w:multiLevelType w:val="multilevel"/>
    <w:tmpl w:val="D1F2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2E1733"/>
    <w:multiLevelType w:val="multilevel"/>
    <w:tmpl w:val="702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50727">
    <w:abstractNumId w:val="0"/>
  </w:num>
  <w:num w:numId="2" w16cid:durableId="249042036">
    <w:abstractNumId w:val="1"/>
  </w:num>
  <w:num w:numId="3" w16cid:durableId="216480795">
    <w:abstractNumId w:val="2"/>
  </w:num>
  <w:num w:numId="4" w16cid:durableId="586354657">
    <w:abstractNumId w:val="3"/>
  </w:num>
  <w:num w:numId="5" w16cid:durableId="1959408699">
    <w:abstractNumId w:val="4"/>
  </w:num>
  <w:num w:numId="6" w16cid:durableId="930041753">
    <w:abstractNumId w:val="5"/>
  </w:num>
  <w:num w:numId="7" w16cid:durableId="869345167">
    <w:abstractNumId w:val="6"/>
  </w:num>
  <w:num w:numId="8" w16cid:durableId="792559015">
    <w:abstractNumId w:val="9"/>
  </w:num>
  <w:num w:numId="9" w16cid:durableId="1410423991">
    <w:abstractNumId w:val="21"/>
  </w:num>
  <w:num w:numId="10" w16cid:durableId="287588597">
    <w:abstractNumId w:val="8"/>
  </w:num>
  <w:num w:numId="11" w16cid:durableId="293758346">
    <w:abstractNumId w:val="24"/>
  </w:num>
  <w:num w:numId="12" w16cid:durableId="945040117">
    <w:abstractNumId w:val="13"/>
  </w:num>
  <w:num w:numId="13" w16cid:durableId="1377319753">
    <w:abstractNumId w:val="19"/>
  </w:num>
  <w:num w:numId="14" w16cid:durableId="1899894360">
    <w:abstractNumId w:val="15"/>
  </w:num>
  <w:num w:numId="15" w16cid:durableId="923338947">
    <w:abstractNumId w:val="28"/>
  </w:num>
  <w:num w:numId="16" w16cid:durableId="155461825">
    <w:abstractNumId w:val="20"/>
  </w:num>
  <w:num w:numId="17" w16cid:durableId="2015496859">
    <w:abstractNumId w:val="16"/>
  </w:num>
  <w:num w:numId="18" w16cid:durableId="1996520514">
    <w:abstractNumId w:val="10"/>
  </w:num>
  <w:num w:numId="19" w16cid:durableId="1636060389">
    <w:abstractNumId w:val="17"/>
  </w:num>
  <w:num w:numId="20" w16cid:durableId="1981760906">
    <w:abstractNumId w:val="11"/>
  </w:num>
  <w:num w:numId="21" w16cid:durableId="926766437">
    <w:abstractNumId w:val="26"/>
  </w:num>
  <w:num w:numId="22" w16cid:durableId="1272394575">
    <w:abstractNumId w:val="18"/>
  </w:num>
  <w:num w:numId="23" w16cid:durableId="1422800891">
    <w:abstractNumId w:val="14"/>
  </w:num>
  <w:num w:numId="24" w16cid:durableId="259683789">
    <w:abstractNumId w:val="27"/>
  </w:num>
  <w:num w:numId="25" w16cid:durableId="842279596">
    <w:abstractNumId w:val="29"/>
  </w:num>
  <w:num w:numId="26" w16cid:durableId="426078500">
    <w:abstractNumId w:val="25"/>
  </w:num>
  <w:num w:numId="27" w16cid:durableId="2076394718">
    <w:abstractNumId w:val="23"/>
  </w:num>
  <w:num w:numId="28" w16cid:durableId="2053265371">
    <w:abstractNumId w:val="22"/>
  </w:num>
  <w:num w:numId="29" w16cid:durableId="721248469">
    <w:abstractNumId w:val="12"/>
  </w:num>
  <w:num w:numId="30" w16cid:durableId="1817331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9E"/>
    <w:rsid w:val="00044510"/>
    <w:rsid w:val="0006448A"/>
    <w:rsid w:val="00163F0B"/>
    <w:rsid w:val="00175D55"/>
    <w:rsid w:val="001C1E99"/>
    <w:rsid w:val="003521EB"/>
    <w:rsid w:val="0049386A"/>
    <w:rsid w:val="004C659E"/>
    <w:rsid w:val="004F00FC"/>
    <w:rsid w:val="00517AF3"/>
    <w:rsid w:val="00536BFF"/>
    <w:rsid w:val="00583AD3"/>
    <w:rsid w:val="0064046C"/>
    <w:rsid w:val="006B5079"/>
    <w:rsid w:val="007C29E6"/>
    <w:rsid w:val="009216AE"/>
    <w:rsid w:val="009F1103"/>
    <w:rsid w:val="00A50D6E"/>
    <w:rsid w:val="00AB36AC"/>
    <w:rsid w:val="00BF2143"/>
    <w:rsid w:val="00D025E3"/>
    <w:rsid w:val="00D6770F"/>
    <w:rsid w:val="00D84D52"/>
    <w:rsid w:val="00F64EF8"/>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8CD7"/>
  <w15:chartTrackingRefBased/>
  <w15:docId w15:val="{1BFA39DE-7340-604B-9596-0E89F72A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E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025E3"/>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025E3"/>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AD3"/>
    <w:pPr>
      <w:tabs>
        <w:tab w:val="center" w:pos="4680"/>
        <w:tab w:val="right" w:pos="9360"/>
      </w:tabs>
    </w:pPr>
  </w:style>
  <w:style w:type="character" w:customStyle="1" w:styleId="HeaderChar">
    <w:name w:val="Header Char"/>
    <w:basedOn w:val="DefaultParagraphFont"/>
    <w:link w:val="Header"/>
    <w:uiPriority w:val="99"/>
    <w:rsid w:val="00583AD3"/>
  </w:style>
  <w:style w:type="paragraph" w:styleId="Footer">
    <w:name w:val="footer"/>
    <w:basedOn w:val="Normal"/>
    <w:link w:val="FooterChar"/>
    <w:uiPriority w:val="99"/>
    <w:unhideWhenUsed/>
    <w:rsid w:val="00583AD3"/>
    <w:pPr>
      <w:tabs>
        <w:tab w:val="center" w:pos="4680"/>
        <w:tab w:val="right" w:pos="9360"/>
      </w:tabs>
    </w:pPr>
  </w:style>
  <w:style w:type="character" w:customStyle="1" w:styleId="FooterChar">
    <w:name w:val="Footer Char"/>
    <w:basedOn w:val="DefaultParagraphFont"/>
    <w:link w:val="Footer"/>
    <w:uiPriority w:val="99"/>
    <w:rsid w:val="00583AD3"/>
  </w:style>
  <w:style w:type="character" w:customStyle="1" w:styleId="Heading3Char">
    <w:name w:val="Heading 3 Char"/>
    <w:basedOn w:val="DefaultParagraphFont"/>
    <w:link w:val="Heading3"/>
    <w:uiPriority w:val="9"/>
    <w:rsid w:val="00D025E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025E3"/>
    <w:rPr>
      <w:rFonts w:ascii="Times New Roman" w:eastAsia="Times New Roman" w:hAnsi="Times New Roman" w:cs="Times New Roman"/>
      <w:b/>
      <w:bCs/>
      <w:lang w:eastAsia="en-GB"/>
    </w:rPr>
  </w:style>
  <w:style w:type="character" w:styleId="Strong">
    <w:name w:val="Strong"/>
    <w:basedOn w:val="DefaultParagraphFont"/>
    <w:uiPriority w:val="22"/>
    <w:qFormat/>
    <w:rsid w:val="00D025E3"/>
    <w:rPr>
      <w:b/>
      <w:bCs/>
    </w:rPr>
  </w:style>
  <w:style w:type="paragraph" w:styleId="NormalWeb">
    <w:name w:val="Normal (Web)"/>
    <w:basedOn w:val="Normal"/>
    <w:uiPriority w:val="99"/>
    <w:semiHidden/>
    <w:unhideWhenUsed/>
    <w:rsid w:val="00D025E3"/>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C1E9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B36AC"/>
    <w:rPr>
      <w:i/>
      <w:iCs/>
    </w:rPr>
  </w:style>
  <w:style w:type="table" w:styleId="TableGrid">
    <w:name w:val="Table Grid"/>
    <w:basedOn w:val="TableNormal"/>
    <w:uiPriority w:val="39"/>
    <w:rsid w:val="00175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2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2026-01-19T20:58:00Z</dcterms:created>
  <dcterms:modified xsi:type="dcterms:W3CDTF">2026-01-22T10:54:00Z</dcterms:modified>
</cp:coreProperties>
</file>