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5CAE" w14:textId="5B7F2F4F" w:rsidR="00836676" w:rsidRPr="001A5ED3" w:rsidRDefault="00836676" w:rsidP="00836676">
      <w:pPr>
        <w:spacing w:before="100" w:beforeAutospacing="1" w:after="100" w:afterAutospacing="1"/>
        <w:jc w:val="center"/>
        <w:outlineLvl w:val="2"/>
        <w:rPr>
          <w:rFonts w:ascii="Century Gothic" w:eastAsia="Times New Roman" w:hAnsi="Century Gothic" w:cs="Segoe UI"/>
          <w:b/>
          <w:bCs/>
          <w:sz w:val="36"/>
          <w:szCs w:val="36"/>
          <w:lang w:eastAsia="en-GB"/>
        </w:rPr>
      </w:pPr>
      <w:r w:rsidRPr="001A5ED3">
        <w:rPr>
          <w:rFonts w:ascii="Century Gothic" w:hAnsi="Century Gothic"/>
          <w:noProof/>
        </w:rPr>
        <w:drawing>
          <wp:inline distT="0" distB="0" distL="0" distR="0" wp14:anchorId="4D825C97" wp14:editId="088E597A">
            <wp:extent cx="1341120" cy="1341120"/>
            <wp:effectExtent l="0" t="0" r="0" b="0"/>
            <wp:docPr id="399835425"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inline>
        </w:drawing>
      </w:r>
    </w:p>
    <w:p w14:paraId="0083B972" w14:textId="41E603CF" w:rsidR="002F3483" w:rsidRPr="001A5ED3" w:rsidRDefault="002F3483" w:rsidP="002C4746">
      <w:pPr>
        <w:spacing w:before="100" w:beforeAutospacing="1" w:after="100" w:afterAutospacing="1"/>
        <w:jc w:val="center"/>
        <w:outlineLvl w:val="2"/>
        <w:rPr>
          <w:rFonts w:ascii="Century Gothic" w:eastAsia="Times New Roman" w:hAnsi="Century Gothic" w:cs="Segoe UI"/>
          <w:b/>
          <w:bCs/>
          <w:sz w:val="36"/>
          <w:szCs w:val="36"/>
          <w:lang w:eastAsia="en-GB"/>
        </w:rPr>
      </w:pPr>
      <w:r w:rsidRPr="001A5ED3">
        <w:rPr>
          <w:rFonts w:ascii="Century Gothic" w:eastAsia="Times New Roman" w:hAnsi="Century Gothic" w:cs="Segoe UI"/>
          <w:b/>
          <w:bCs/>
          <w:sz w:val="36"/>
          <w:szCs w:val="36"/>
          <w:lang w:eastAsia="en-GB"/>
        </w:rPr>
        <w:t>Safeguarding Training Policy</w:t>
      </w:r>
    </w:p>
    <w:p w14:paraId="0C450170" w14:textId="7ED5F2D8" w:rsidR="002F3483" w:rsidRPr="001A5ED3" w:rsidRDefault="002F3483" w:rsidP="00836676">
      <w:pPr>
        <w:spacing w:before="100" w:beforeAutospacing="1" w:after="100" w:afterAutospacing="1"/>
        <w:outlineLvl w:val="3"/>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Policy Statement</w:t>
      </w:r>
      <w:r w:rsidR="00836676" w:rsidRPr="001A5ED3">
        <w:rPr>
          <w:rFonts w:ascii="Century Gothic" w:eastAsia="Times New Roman" w:hAnsi="Century Gothic" w:cs="Segoe UI"/>
          <w:b/>
          <w:bCs/>
          <w:sz w:val="28"/>
          <w:szCs w:val="28"/>
          <w:lang w:eastAsia="en-GB"/>
        </w:rPr>
        <w:t xml:space="preserve">: </w:t>
      </w:r>
      <w:r w:rsidRPr="001A5ED3">
        <w:rPr>
          <w:rFonts w:ascii="Century Gothic" w:eastAsia="Times New Roman" w:hAnsi="Century Gothic" w:cs="Segoe UI"/>
          <w:sz w:val="28"/>
          <w:szCs w:val="28"/>
          <w:lang w:eastAsia="en-GB"/>
        </w:rPr>
        <w:t xml:space="preserve">At </w:t>
      </w:r>
      <w:r w:rsidR="00836676" w:rsidRPr="001A5ED3">
        <w:rPr>
          <w:rFonts w:ascii="Century Gothic" w:eastAsia="Times New Roman" w:hAnsi="Century Gothic" w:cs="Segoe UI"/>
          <w:sz w:val="28"/>
          <w:szCs w:val="28"/>
          <w:lang w:eastAsia="en-GB"/>
        </w:rPr>
        <w:t>Pegasus Nursery &amp; Preschool</w:t>
      </w:r>
      <w:r w:rsidRPr="001A5ED3">
        <w:rPr>
          <w:rFonts w:ascii="Century Gothic" w:eastAsia="Times New Roman" w:hAnsi="Century Gothic" w:cs="Segoe UI"/>
          <w:sz w:val="28"/>
          <w:szCs w:val="28"/>
          <w:lang w:eastAsia="en-GB"/>
        </w:rPr>
        <w:t>, safeguarding is at the heart of our practice. We are committed to ensuring all staff members,</w:t>
      </w:r>
      <w:r w:rsidR="00836676" w:rsidRPr="001A5ED3">
        <w:rPr>
          <w:rFonts w:ascii="Century Gothic" w:eastAsia="Times New Roman" w:hAnsi="Century Gothic" w:cs="Segoe UI"/>
          <w:sz w:val="28"/>
          <w:szCs w:val="28"/>
          <w:lang w:eastAsia="en-GB"/>
        </w:rPr>
        <w:t xml:space="preserve"> not just our Safeguarding Team but all staff </w:t>
      </w:r>
      <w:r w:rsidRPr="001A5ED3">
        <w:rPr>
          <w:rFonts w:ascii="Century Gothic" w:eastAsia="Times New Roman" w:hAnsi="Century Gothic" w:cs="Segoe UI"/>
          <w:sz w:val="28"/>
          <w:szCs w:val="28"/>
          <w:lang w:eastAsia="en-GB"/>
        </w:rPr>
        <w:t>receive up-to-date and relevant safeguarding training to protect the welfare of every child in our care. This policy outlines how safeguarding training is delivered and maintained, in line with the statutory requirements of the Early Years Foundation Stage (EYFS) 2025</w:t>
      </w:r>
    </w:p>
    <w:p w14:paraId="2AED7178" w14:textId="77777777" w:rsidR="002F3483" w:rsidRPr="001A5ED3" w:rsidRDefault="002F3483" w:rsidP="002F3483">
      <w:pPr>
        <w:spacing w:before="100" w:beforeAutospacing="1" w:after="100" w:afterAutospacing="1"/>
        <w:outlineLvl w:val="2"/>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Delivery of Safeguarding Training</w:t>
      </w:r>
    </w:p>
    <w:p w14:paraId="7226E367" w14:textId="3726D97F" w:rsidR="002F3483" w:rsidRPr="001A5ED3" w:rsidRDefault="002F3483" w:rsidP="002F3483">
      <w:pPr>
        <w:numPr>
          <w:ilvl w:val="0"/>
          <w:numId w:val="25"/>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All staff must complete safeguarding training as part of their induction.</w:t>
      </w:r>
    </w:p>
    <w:p w14:paraId="58EEEC50" w14:textId="77777777" w:rsidR="002F3483" w:rsidRPr="001A5ED3" w:rsidRDefault="002F3483" w:rsidP="002F3483">
      <w:pPr>
        <w:numPr>
          <w:ilvl w:val="0"/>
          <w:numId w:val="25"/>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Safeguarding training must cover:</w:t>
      </w:r>
    </w:p>
    <w:p w14:paraId="60ECA9AE" w14:textId="6872A404" w:rsidR="002F3483" w:rsidRPr="001A5ED3" w:rsidRDefault="002F3483" w:rsidP="002F3483">
      <w:pPr>
        <w:numPr>
          <w:ilvl w:val="1"/>
          <w:numId w:val="25"/>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Recognising signs of abuse or neglect</w:t>
      </w:r>
      <w:r w:rsidR="00836676" w:rsidRPr="001A5ED3">
        <w:rPr>
          <w:rFonts w:ascii="Century Gothic" w:eastAsia="Times New Roman" w:hAnsi="Century Gothic" w:cs="Segoe UI"/>
          <w:sz w:val="28"/>
          <w:szCs w:val="28"/>
          <w:lang w:eastAsia="en-GB"/>
        </w:rPr>
        <w:t>.</w:t>
      </w:r>
    </w:p>
    <w:p w14:paraId="72365246" w14:textId="110B2737" w:rsidR="002F3483" w:rsidRPr="001A5ED3" w:rsidRDefault="002F3483" w:rsidP="002F3483">
      <w:pPr>
        <w:numPr>
          <w:ilvl w:val="1"/>
          <w:numId w:val="25"/>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Responding appropriately to concerns or disclosures</w:t>
      </w:r>
      <w:r w:rsidR="00836676" w:rsidRPr="001A5ED3">
        <w:rPr>
          <w:rFonts w:ascii="Century Gothic" w:eastAsia="Times New Roman" w:hAnsi="Century Gothic" w:cs="Segoe UI"/>
          <w:sz w:val="28"/>
          <w:szCs w:val="28"/>
          <w:lang w:eastAsia="en-GB"/>
        </w:rPr>
        <w:t>.</w:t>
      </w:r>
    </w:p>
    <w:p w14:paraId="28FF2E02" w14:textId="73EC22D3" w:rsidR="002F3483" w:rsidRPr="001A5ED3" w:rsidRDefault="002F3483" w:rsidP="002F3483">
      <w:pPr>
        <w:numPr>
          <w:ilvl w:val="1"/>
          <w:numId w:val="25"/>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Understanding local safeguarding procedures and referral routes</w:t>
      </w:r>
      <w:r w:rsidR="00836676" w:rsidRPr="001A5ED3">
        <w:rPr>
          <w:rFonts w:ascii="Century Gothic" w:eastAsia="Times New Roman" w:hAnsi="Century Gothic" w:cs="Segoe UI"/>
          <w:sz w:val="28"/>
          <w:szCs w:val="28"/>
          <w:lang w:eastAsia="en-GB"/>
        </w:rPr>
        <w:t>.</w:t>
      </w:r>
    </w:p>
    <w:p w14:paraId="6792FBF5" w14:textId="4628EDAF" w:rsidR="00836676" w:rsidRPr="001A5ED3" w:rsidRDefault="002F3483" w:rsidP="00836676">
      <w:pPr>
        <w:numPr>
          <w:ilvl w:val="1"/>
          <w:numId w:val="25"/>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Recording and reporting concerns accurately</w:t>
      </w:r>
      <w:r w:rsidR="00836676" w:rsidRPr="001A5ED3">
        <w:rPr>
          <w:rFonts w:ascii="Century Gothic" w:eastAsia="Times New Roman" w:hAnsi="Century Gothic" w:cs="Segoe UI"/>
          <w:sz w:val="28"/>
          <w:szCs w:val="28"/>
          <w:lang w:eastAsia="en-GB"/>
        </w:rPr>
        <w:t>.</w:t>
      </w:r>
      <w:r w:rsidR="00836676" w:rsidRPr="001A5ED3">
        <w:rPr>
          <w:rFonts w:ascii="Century Gothic" w:eastAsia="Times New Roman" w:hAnsi="Century Gothic" w:cs="Segoe UI"/>
          <w:sz w:val="28"/>
          <w:szCs w:val="28"/>
          <w:lang w:eastAsia="en-GB"/>
        </w:rPr>
        <w:br/>
      </w:r>
    </w:p>
    <w:p w14:paraId="03637355" w14:textId="107C2ED4" w:rsidR="00836676" w:rsidRPr="001A5ED3" w:rsidRDefault="002F3483" w:rsidP="00836676">
      <w:pPr>
        <w:numPr>
          <w:ilvl w:val="0"/>
          <w:numId w:val="25"/>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Training may be delivered through:</w:t>
      </w:r>
    </w:p>
    <w:p w14:paraId="200E371F" w14:textId="102B028C" w:rsidR="00345B77" w:rsidRPr="002C4746" w:rsidRDefault="00836676" w:rsidP="002C4746">
      <w:pPr>
        <w:pStyle w:val="ListParagraph"/>
        <w:numPr>
          <w:ilvl w:val="0"/>
          <w:numId w:val="32"/>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 xml:space="preserve">Training is delivered through the LCSP (Lincolnshire Safeguarding Partnership) 6-year pathway. </w:t>
      </w:r>
    </w:p>
    <w:p w14:paraId="4D949943" w14:textId="0A66AD2C" w:rsidR="002F3483" w:rsidRPr="001A5ED3" w:rsidRDefault="002F3483" w:rsidP="002F3483">
      <w:pPr>
        <w:spacing w:before="100" w:beforeAutospacing="1" w:after="100" w:afterAutospacing="1"/>
        <w:outlineLvl w:val="2"/>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Ongoing Training and Development</w:t>
      </w:r>
    </w:p>
    <w:p w14:paraId="14307958" w14:textId="77777777" w:rsidR="00345B77" w:rsidRPr="001A5ED3" w:rsidRDefault="00836676" w:rsidP="002F3483">
      <w:pPr>
        <w:numPr>
          <w:ilvl w:val="0"/>
          <w:numId w:val="26"/>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We</w:t>
      </w:r>
      <w:r w:rsidR="00345B77" w:rsidRPr="001A5ED3">
        <w:rPr>
          <w:rFonts w:ascii="Century Gothic" w:eastAsia="Times New Roman" w:hAnsi="Century Gothic" w:cs="Segoe UI"/>
          <w:sz w:val="28"/>
          <w:szCs w:val="28"/>
          <w:lang w:eastAsia="en-GB"/>
        </w:rPr>
        <w:t xml:space="preserve"> </w:t>
      </w:r>
      <w:r w:rsidRPr="001A5ED3">
        <w:rPr>
          <w:rFonts w:ascii="Century Gothic" w:eastAsia="Times New Roman" w:hAnsi="Century Gothic" w:cs="Segoe UI"/>
          <w:sz w:val="28"/>
          <w:szCs w:val="28"/>
          <w:lang w:eastAsia="en-GB"/>
        </w:rPr>
        <w:t xml:space="preserve">use the training matrix </w:t>
      </w:r>
      <w:r w:rsidR="00345B77" w:rsidRPr="001A5ED3">
        <w:rPr>
          <w:rFonts w:ascii="Century Gothic" w:eastAsia="Times New Roman" w:hAnsi="Century Gothic" w:cs="Segoe UI"/>
          <w:sz w:val="28"/>
          <w:szCs w:val="28"/>
          <w:lang w:eastAsia="en-GB"/>
        </w:rPr>
        <w:t>provided by the LSCP</w:t>
      </w:r>
      <w:r w:rsidRPr="001A5ED3">
        <w:rPr>
          <w:rFonts w:ascii="Century Gothic" w:eastAsia="Times New Roman" w:hAnsi="Century Gothic" w:cs="Segoe UI"/>
          <w:sz w:val="28"/>
          <w:szCs w:val="28"/>
          <w:lang w:eastAsia="en-GB"/>
        </w:rPr>
        <w:t xml:space="preserve"> to ensure that all staff are up to date with training and when refreshers are due.</w:t>
      </w:r>
      <w:r w:rsidR="00345B77" w:rsidRPr="001A5ED3">
        <w:rPr>
          <w:rFonts w:ascii="Century Gothic" w:eastAsia="Times New Roman" w:hAnsi="Century Gothic" w:cs="Segoe UI"/>
          <w:sz w:val="28"/>
          <w:szCs w:val="28"/>
          <w:lang w:eastAsia="en-GB"/>
        </w:rPr>
        <w:t xml:space="preserve"> </w:t>
      </w:r>
    </w:p>
    <w:p w14:paraId="206D0DE6" w14:textId="4FA55165" w:rsidR="002F3483" w:rsidRPr="001A5ED3" w:rsidRDefault="002F3483" w:rsidP="002F3483">
      <w:pPr>
        <w:numPr>
          <w:ilvl w:val="0"/>
          <w:numId w:val="26"/>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lastRenderedPageBreak/>
        <w:t>Safeguarding will be discussed regularly during staff meetings, supervision, and CPD activities to ensure continued awareness of best practices.</w:t>
      </w:r>
    </w:p>
    <w:p w14:paraId="12BAF711" w14:textId="4320310F" w:rsidR="002F3483" w:rsidRPr="001A5ED3" w:rsidRDefault="002F3483" w:rsidP="002F3483">
      <w:pPr>
        <w:rPr>
          <w:rFonts w:ascii="Century Gothic" w:eastAsia="Times New Roman" w:hAnsi="Century Gothic" w:cs="Segoe UI"/>
          <w:sz w:val="28"/>
          <w:szCs w:val="28"/>
          <w:lang w:eastAsia="en-GB"/>
        </w:rPr>
      </w:pPr>
    </w:p>
    <w:p w14:paraId="29A4F7BB" w14:textId="77777777" w:rsidR="002F3483" w:rsidRPr="002C4746" w:rsidRDefault="002F3483" w:rsidP="002F3483">
      <w:pPr>
        <w:spacing w:before="100" w:beforeAutospacing="1" w:after="100" w:afterAutospacing="1"/>
        <w:outlineLvl w:val="2"/>
        <w:rPr>
          <w:rFonts w:ascii="Century Gothic" w:eastAsia="Times New Roman" w:hAnsi="Century Gothic" w:cs="Segoe UI"/>
          <w:b/>
          <w:bCs/>
          <w:sz w:val="28"/>
          <w:szCs w:val="28"/>
          <w:lang w:eastAsia="en-GB"/>
        </w:rPr>
      </w:pPr>
      <w:r w:rsidRPr="002C4746">
        <w:rPr>
          <w:rFonts w:ascii="Century Gothic" w:eastAsia="Times New Roman" w:hAnsi="Century Gothic" w:cs="Segoe UI"/>
          <w:b/>
          <w:bCs/>
          <w:sz w:val="28"/>
          <w:szCs w:val="28"/>
          <w:lang w:eastAsia="en-GB"/>
        </w:rPr>
        <w:t>Designated Safeguarding Lead (DSL) Training</w:t>
      </w:r>
    </w:p>
    <w:p w14:paraId="38C08F62" w14:textId="603F6367" w:rsidR="002F3483" w:rsidRPr="001A5ED3" w:rsidRDefault="002F3483" w:rsidP="002F3483">
      <w:pPr>
        <w:numPr>
          <w:ilvl w:val="0"/>
          <w:numId w:val="27"/>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Every</w:t>
      </w:r>
      <w:r w:rsidR="00345B77" w:rsidRPr="001A5ED3">
        <w:rPr>
          <w:rFonts w:ascii="Century Gothic" w:eastAsia="Times New Roman" w:hAnsi="Century Gothic" w:cs="Segoe UI"/>
          <w:sz w:val="28"/>
          <w:szCs w:val="28"/>
          <w:lang w:eastAsia="en-GB"/>
        </w:rPr>
        <w:t xml:space="preserve"> </w:t>
      </w:r>
      <w:r w:rsidRPr="001A5ED3">
        <w:rPr>
          <w:rFonts w:ascii="Century Gothic" w:eastAsia="Times New Roman" w:hAnsi="Century Gothic" w:cs="Segoe UI"/>
          <w:sz w:val="28"/>
          <w:szCs w:val="28"/>
          <w:lang w:eastAsia="en-GB"/>
        </w:rPr>
        <w:t>setting must have a Designated Safeguarding Lead (DSL)</w:t>
      </w:r>
      <w:r w:rsidR="00345B77" w:rsidRPr="001A5ED3">
        <w:rPr>
          <w:rFonts w:ascii="Century Gothic" w:eastAsia="Times New Roman" w:hAnsi="Century Gothic" w:cs="Segoe UI"/>
          <w:sz w:val="28"/>
          <w:szCs w:val="28"/>
          <w:lang w:eastAsia="en-GB"/>
        </w:rPr>
        <w:t xml:space="preserve">. </w:t>
      </w:r>
      <w:r w:rsidR="00345B77" w:rsidRPr="002C4746">
        <w:rPr>
          <w:rFonts w:ascii="Century Gothic" w:eastAsia="Times New Roman" w:hAnsi="Century Gothic" w:cs="Segoe UI"/>
          <w:sz w:val="28"/>
          <w:szCs w:val="28"/>
          <w:highlight w:val="yellow"/>
          <w:lang w:eastAsia="en-GB"/>
        </w:rPr>
        <w:t>Our DSL is Sarah Gilliot</w:t>
      </w:r>
      <w:r w:rsidR="00345B77" w:rsidRPr="001A5ED3">
        <w:rPr>
          <w:rFonts w:ascii="Century Gothic" w:eastAsia="Times New Roman" w:hAnsi="Century Gothic" w:cs="Segoe UI"/>
          <w:sz w:val="28"/>
          <w:szCs w:val="28"/>
          <w:lang w:eastAsia="en-GB"/>
        </w:rPr>
        <w:t>.</w:t>
      </w:r>
    </w:p>
    <w:p w14:paraId="4E498342" w14:textId="77777777" w:rsidR="002F3483" w:rsidRPr="001A5ED3" w:rsidRDefault="002F3483" w:rsidP="002F3483">
      <w:pPr>
        <w:numPr>
          <w:ilvl w:val="0"/>
          <w:numId w:val="27"/>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The DSL must complete enhanced safeguarding training specific to their role.</w:t>
      </w:r>
    </w:p>
    <w:p w14:paraId="66AF575E" w14:textId="1DF15019" w:rsidR="00345B77" w:rsidRPr="001A5ED3" w:rsidRDefault="00345B77" w:rsidP="002F3483">
      <w:pPr>
        <w:numPr>
          <w:ilvl w:val="0"/>
          <w:numId w:val="27"/>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 xml:space="preserve">Our Deputy Designated Safeguarding Lead </w:t>
      </w:r>
      <w:r w:rsidRPr="00BE20C5">
        <w:rPr>
          <w:rFonts w:ascii="Century Gothic" w:eastAsia="Times New Roman" w:hAnsi="Century Gothic" w:cs="Segoe UI"/>
          <w:sz w:val="28"/>
          <w:szCs w:val="28"/>
          <w:highlight w:val="green"/>
          <w:lang w:eastAsia="en-GB"/>
        </w:rPr>
        <w:t>(DDSL) Is Natasha Taylor.</w:t>
      </w:r>
    </w:p>
    <w:p w14:paraId="753D60F3" w14:textId="77777777" w:rsidR="002F3483" w:rsidRPr="001A5ED3" w:rsidRDefault="002F3483" w:rsidP="002F3483">
      <w:pPr>
        <w:numPr>
          <w:ilvl w:val="0"/>
          <w:numId w:val="27"/>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In accordance with EYFS 2025 reforms, the DSL must update their training every two years.</w:t>
      </w:r>
    </w:p>
    <w:p w14:paraId="4EBD52A5" w14:textId="77777777" w:rsidR="002F3483" w:rsidRPr="001A5ED3" w:rsidRDefault="002F3483" w:rsidP="002F3483">
      <w:pPr>
        <w:numPr>
          <w:ilvl w:val="0"/>
          <w:numId w:val="27"/>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DSL training includes:</w:t>
      </w:r>
    </w:p>
    <w:p w14:paraId="50187442" w14:textId="77777777" w:rsidR="002F3483" w:rsidRPr="001A5ED3" w:rsidRDefault="002F3483" w:rsidP="002F3483">
      <w:pPr>
        <w:numPr>
          <w:ilvl w:val="1"/>
          <w:numId w:val="27"/>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Understanding thresholds for intervention</w:t>
      </w:r>
    </w:p>
    <w:p w14:paraId="5530EC88" w14:textId="77777777" w:rsidR="002F3483" w:rsidRPr="001A5ED3" w:rsidRDefault="002F3483" w:rsidP="002F3483">
      <w:pPr>
        <w:numPr>
          <w:ilvl w:val="1"/>
          <w:numId w:val="27"/>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Working with external agencies (e.g. children’s social care)</w:t>
      </w:r>
    </w:p>
    <w:p w14:paraId="50EEEE1A" w14:textId="77777777" w:rsidR="002F3483" w:rsidRPr="001A5ED3" w:rsidRDefault="002F3483" w:rsidP="002F3483">
      <w:pPr>
        <w:numPr>
          <w:ilvl w:val="1"/>
          <w:numId w:val="27"/>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Leading safeguarding practice within the setting</w:t>
      </w:r>
    </w:p>
    <w:p w14:paraId="79314D55" w14:textId="77777777" w:rsidR="002F3483" w:rsidRPr="001A5ED3" w:rsidRDefault="002F3483" w:rsidP="002F3483">
      <w:pPr>
        <w:numPr>
          <w:ilvl w:val="1"/>
          <w:numId w:val="27"/>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Supporting and advising staff on safeguarding issues</w:t>
      </w:r>
    </w:p>
    <w:p w14:paraId="7370B9AD" w14:textId="4506DB0D" w:rsidR="002F3483" w:rsidRPr="001A5ED3" w:rsidRDefault="002F3483" w:rsidP="002F3483">
      <w:pPr>
        <w:rPr>
          <w:rFonts w:ascii="Century Gothic" w:eastAsia="Times New Roman" w:hAnsi="Century Gothic" w:cs="Segoe UI"/>
          <w:sz w:val="28"/>
          <w:szCs w:val="28"/>
          <w:lang w:eastAsia="en-GB"/>
        </w:rPr>
      </w:pPr>
    </w:p>
    <w:p w14:paraId="46900F2B" w14:textId="77777777" w:rsidR="002F3483" w:rsidRPr="001A5ED3" w:rsidRDefault="002F3483" w:rsidP="002F3483">
      <w:pPr>
        <w:spacing w:before="100" w:beforeAutospacing="1" w:after="100" w:afterAutospacing="1"/>
        <w:outlineLvl w:val="2"/>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Training Records</w:t>
      </w:r>
    </w:p>
    <w:p w14:paraId="1FA2BF10" w14:textId="77777777" w:rsidR="002F3483" w:rsidRPr="001A5ED3" w:rsidRDefault="002F3483" w:rsidP="002F3483">
      <w:pPr>
        <w:numPr>
          <w:ilvl w:val="0"/>
          <w:numId w:val="28"/>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We maintain clear training records showing the safeguarding qualifications and refresher dates for all staff.</w:t>
      </w:r>
    </w:p>
    <w:p w14:paraId="3E3B9AD8" w14:textId="1D1178C2" w:rsidR="00345B77" w:rsidRPr="00BE20C5" w:rsidRDefault="002F3483" w:rsidP="00BE20C5">
      <w:pPr>
        <w:numPr>
          <w:ilvl w:val="0"/>
          <w:numId w:val="28"/>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Staff will not be left unsupervised with children until safeguarding training is completed.</w:t>
      </w:r>
    </w:p>
    <w:p w14:paraId="36CBA587" w14:textId="4D9A9464" w:rsidR="002F3483" w:rsidRPr="001A5ED3" w:rsidRDefault="002F3483" w:rsidP="002F3483">
      <w:pPr>
        <w:spacing w:before="100" w:beforeAutospacing="1" w:after="100" w:afterAutospacing="1"/>
        <w:outlineLvl w:val="2"/>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Promoting a Safeguarding Culture</w:t>
      </w:r>
    </w:p>
    <w:p w14:paraId="3D9A01FC" w14:textId="77777777" w:rsidR="002F3483" w:rsidRPr="001A5ED3" w:rsidRDefault="002F3483" w:rsidP="002F3483">
      <w:pPr>
        <w:numPr>
          <w:ilvl w:val="0"/>
          <w:numId w:val="29"/>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Safeguarding is embedded in our everyday practice.</w:t>
      </w:r>
    </w:p>
    <w:p w14:paraId="584B077F" w14:textId="77777777" w:rsidR="002F3483" w:rsidRPr="001A5ED3" w:rsidRDefault="002F3483" w:rsidP="002F3483">
      <w:pPr>
        <w:numPr>
          <w:ilvl w:val="0"/>
          <w:numId w:val="29"/>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Staff are encouraged to reflect on safeguarding scenarios and bring concerns to the DSL or local safeguarding team without fear of reprisal.</w:t>
      </w:r>
    </w:p>
    <w:p w14:paraId="248D9E79" w14:textId="0DE9C786" w:rsidR="002F3483" w:rsidRPr="001A5ED3" w:rsidRDefault="002F3483" w:rsidP="002F3483">
      <w:pPr>
        <w:numPr>
          <w:ilvl w:val="0"/>
          <w:numId w:val="29"/>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All safeguarding concerns are logged, monitored, and followed up appropriately.</w:t>
      </w:r>
    </w:p>
    <w:p w14:paraId="710110A6" w14:textId="6F77ADF4" w:rsidR="00345B77" w:rsidRPr="001A5ED3" w:rsidRDefault="00345B77" w:rsidP="002F3483">
      <w:pPr>
        <w:numPr>
          <w:ilvl w:val="0"/>
          <w:numId w:val="29"/>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lastRenderedPageBreak/>
        <w:t xml:space="preserve">We use ‘On </w:t>
      </w:r>
      <w:r w:rsidR="00BE20C5">
        <w:rPr>
          <w:rFonts w:ascii="Century Gothic" w:eastAsia="Times New Roman" w:hAnsi="Century Gothic" w:cs="Segoe UI"/>
          <w:sz w:val="28"/>
          <w:szCs w:val="28"/>
          <w:lang w:eastAsia="en-GB"/>
        </w:rPr>
        <w:t>t</w:t>
      </w:r>
      <w:r w:rsidRPr="001A5ED3">
        <w:rPr>
          <w:rFonts w:ascii="Century Gothic" w:eastAsia="Times New Roman" w:hAnsi="Century Gothic" w:cs="Segoe UI"/>
          <w:sz w:val="28"/>
          <w:szCs w:val="28"/>
          <w:lang w:eastAsia="en-GB"/>
        </w:rPr>
        <w:t>he Button’ software which allows us to log all concerns and allow us to take next steps where needed with everything in one place.</w:t>
      </w:r>
    </w:p>
    <w:p w14:paraId="68054B04" w14:textId="44233CF5" w:rsidR="002F3483" w:rsidRPr="001A5ED3" w:rsidRDefault="002F3483" w:rsidP="002F3483">
      <w:pPr>
        <w:spacing w:before="100" w:beforeAutospacing="1" w:after="100" w:afterAutospacing="1"/>
        <w:outlineLvl w:val="2"/>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Supporting New Staff</w:t>
      </w:r>
    </w:p>
    <w:p w14:paraId="2E1BC819" w14:textId="77777777" w:rsidR="002F3483" w:rsidRPr="001A5ED3" w:rsidRDefault="002F3483" w:rsidP="002F3483">
      <w:pPr>
        <w:numPr>
          <w:ilvl w:val="0"/>
          <w:numId w:val="30"/>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New staff will receive immediate safeguarding induction and will not be left in sole charge of children until training is verified.</w:t>
      </w:r>
    </w:p>
    <w:p w14:paraId="533446F1" w14:textId="3C6DC0AA" w:rsidR="002F3483" w:rsidRPr="001A5ED3" w:rsidRDefault="00345B77" w:rsidP="002F3483">
      <w:pPr>
        <w:numPr>
          <w:ilvl w:val="0"/>
          <w:numId w:val="30"/>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Staff</w:t>
      </w:r>
      <w:r w:rsidR="002F3483" w:rsidRPr="001A5ED3">
        <w:rPr>
          <w:rFonts w:ascii="Century Gothic" w:eastAsia="Times New Roman" w:hAnsi="Century Gothic" w:cs="Segoe UI"/>
          <w:sz w:val="28"/>
          <w:szCs w:val="28"/>
          <w:lang w:eastAsia="en-GB"/>
        </w:rPr>
        <w:t xml:space="preserve"> are supported through shadowing, supervision, and access to ongoing training resources.</w:t>
      </w:r>
    </w:p>
    <w:p w14:paraId="17927A13" w14:textId="77777777" w:rsidR="002F3483" w:rsidRPr="001A5ED3" w:rsidRDefault="002F3483" w:rsidP="002F3483">
      <w:pPr>
        <w:spacing w:before="100" w:beforeAutospacing="1" w:after="100" w:afterAutospacing="1"/>
        <w:outlineLvl w:val="2"/>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Alignment with EYFS 2025 Changes</w:t>
      </w:r>
    </w:p>
    <w:p w14:paraId="6961DB4E" w14:textId="77777777" w:rsidR="002F3483" w:rsidRPr="001A5ED3" w:rsidRDefault="002F3483" w:rsidP="002F3483">
      <w:p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This policy supports the updated EYFS 2025 safeguarding requirements, including:</w:t>
      </w:r>
    </w:p>
    <w:p w14:paraId="6A272636" w14:textId="6C3A6EB1" w:rsidR="002F3483" w:rsidRPr="001A5ED3" w:rsidRDefault="002F3483" w:rsidP="002F3483">
      <w:pPr>
        <w:numPr>
          <w:ilvl w:val="0"/>
          <w:numId w:val="31"/>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 xml:space="preserve">Introduction of a minimum safeguarding training standard for all early </w:t>
      </w:r>
      <w:r w:rsidR="00345B77" w:rsidRPr="001A5ED3">
        <w:rPr>
          <w:rFonts w:ascii="Century Gothic" w:eastAsia="Times New Roman" w:hAnsi="Century Gothic" w:cs="Segoe UI"/>
          <w:sz w:val="28"/>
          <w:szCs w:val="28"/>
          <w:lang w:eastAsia="en-GB"/>
        </w:rPr>
        <w:t>year’s</w:t>
      </w:r>
      <w:r w:rsidRPr="001A5ED3">
        <w:rPr>
          <w:rFonts w:ascii="Century Gothic" w:eastAsia="Times New Roman" w:hAnsi="Century Gothic" w:cs="Segoe UI"/>
          <w:sz w:val="28"/>
          <w:szCs w:val="28"/>
          <w:lang w:eastAsia="en-GB"/>
        </w:rPr>
        <w:t xml:space="preserve"> practitioners</w:t>
      </w:r>
      <w:r w:rsidR="00345B77" w:rsidRPr="001A5ED3">
        <w:rPr>
          <w:rFonts w:ascii="Century Gothic" w:eastAsia="Times New Roman" w:hAnsi="Century Gothic" w:cs="Segoe UI"/>
          <w:sz w:val="28"/>
          <w:szCs w:val="28"/>
          <w:lang w:eastAsia="en-GB"/>
        </w:rPr>
        <w:t>.</w:t>
      </w:r>
    </w:p>
    <w:p w14:paraId="7AF1CE83" w14:textId="6EF9478A" w:rsidR="002F3483" w:rsidRPr="001A5ED3" w:rsidRDefault="002F3483" w:rsidP="002F3483">
      <w:pPr>
        <w:numPr>
          <w:ilvl w:val="0"/>
          <w:numId w:val="31"/>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The two-year update requirement for Designated Safeguarding Leads</w:t>
      </w:r>
      <w:r w:rsidR="00345B77" w:rsidRPr="001A5ED3">
        <w:rPr>
          <w:rFonts w:ascii="Century Gothic" w:eastAsia="Times New Roman" w:hAnsi="Century Gothic" w:cs="Segoe UI"/>
          <w:sz w:val="28"/>
          <w:szCs w:val="28"/>
          <w:lang w:eastAsia="en-GB"/>
        </w:rPr>
        <w:t>.</w:t>
      </w:r>
    </w:p>
    <w:p w14:paraId="298C832F" w14:textId="18B57C5B" w:rsidR="002F3483" w:rsidRPr="001A5ED3" w:rsidRDefault="002F3483" w:rsidP="002F3483">
      <w:pPr>
        <w:numPr>
          <w:ilvl w:val="0"/>
          <w:numId w:val="31"/>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Reinforced expectations for ongoing staff development and regular review of safeguarding practice</w:t>
      </w:r>
      <w:r w:rsidR="00345B77" w:rsidRPr="001A5ED3">
        <w:rPr>
          <w:rFonts w:ascii="Century Gothic" w:eastAsia="Times New Roman" w:hAnsi="Century Gothic" w:cs="Segoe UI"/>
          <w:sz w:val="28"/>
          <w:szCs w:val="28"/>
          <w:lang w:eastAsia="en-GB"/>
        </w:rPr>
        <w:t>.</w:t>
      </w:r>
    </w:p>
    <w:p w14:paraId="0E9164D7" w14:textId="057072DF" w:rsidR="002F3483" w:rsidRPr="001A5ED3" w:rsidRDefault="002F3483" w:rsidP="002F3483">
      <w:pPr>
        <w:numPr>
          <w:ilvl w:val="0"/>
          <w:numId w:val="31"/>
        </w:numPr>
        <w:spacing w:before="100" w:beforeAutospacing="1" w:after="100" w:afterAutospacing="1"/>
        <w:rPr>
          <w:rFonts w:ascii="Century Gothic" w:eastAsia="Times New Roman" w:hAnsi="Century Gothic" w:cs="Segoe UI"/>
          <w:sz w:val="28"/>
          <w:szCs w:val="28"/>
          <w:lang w:eastAsia="en-GB"/>
        </w:rPr>
      </w:pPr>
      <w:r w:rsidRPr="001A5ED3">
        <w:rPr>
          <w:rFonts w:ascii="Century Gothic" w:eastAsia="Times New Roman" w:hAnsi="Century Gothic" w:cs="Segoe UI"/>
          <w:sz w:val="28"/>
          <w:szCs w:val="28"/>
          <w:lang w:eastAsia="en-GB"/>
        </w:rPr>
        <w:t>A clear focus on confidence, competence, and responsiveness when dealing with safeguarding concerns</w:t>
      </w:r>
      <w:r w:rsidR="00345B77" w:rsidRPr="001A5ED3">
        <w:rPr>
          <w:rFonts w:ascii="Century Gothic" w:eastAsia="Times New Roman" w:hAnsi="Century Gothic" w:cs="Segoe UI"/>
          <w:sz w:val="28"/>
          <w:szCs w:val="28"/>
          <w:lang w:eastAsia="en-GB"/>
        </w:rPr>
        <w:t>.</w:t>
      </w:r>
    </w:p>
    <w:p w14:paraId="30EB52FA" w14:textId="4794ABD1" w:rsidR="00345B77" w:rsidRPr="001A5ED3" w:rsidRDefault="002F3483" w:rsidP="002F3483">
      <w:pPr>
        <w:spacing w:before="100" w:beforeAutospacing="1" w:after="100" w:afterAutospacing="1"/>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Signed:</w:t>
      </w:r>
      <w:r w:rsidRPr="001A5ED3">
        <w:rPr>
          <w:rFonts w:ascii="Century Gothic" w:eastAsia="Times New Roman" w:hAnsi="Century Gothic" w:cs="Segoe UI"/>
          <w:sz w:val="28"/>
          <w:szCs w:val="28"/>
          <w:lang w:eastAsia="en-GB"/>
        </w:rPr>
        <w:t xml:space="preserve"> </w:t>
      </w:r>
      <w:r w:rsidR="00345B77" w:rsidRPr="001A5ED3">
        <w:rPr>
          <w:rFonts w:ascii="Century Gothic" w:eastAsia="Times New Roman" w:hAnsi="Century Gothic" w:cs="Segoe UI"/>
          <w:sz w:val="28"/>
          <w:szCs w:val="28"/>
          <w:lang w:eastAsia="en-GB"/>
        </w:rPr>
        <w:t>Natasha Taylor</w:t>
      </w:r>
      <w:r w:rsidRPr="001A5ED3">
        <w:rPr>
          <w:rFonts w:ascii="Century Gothic" w:eastAsia="Times New Roman" w:hAnsi="Century Gothic" w:cs="Segoe UI"/>
          <w:sz w:val="28"/>
          <w:szCs w:val="28"/>
          <w:lang w:eastAsia="en-GB"/>
        </w:rPr>
        <w:br/>
      </w:r>
      <w:r w:rsidRPr="001A5ED3">
        <w:rPr>
          <w:rFonts w:ascii="Century Gothic" w:eastAsia="Times New Roman" w:hAnsi="Century Gothic" w:cs="Segoe UI"/>
          <w:b/>
          <w:bCs/>
          <w:sz w:val="28"/>
          <w:szCs w:val="28"/>
          <w:lang w:eastAsia="en-GB"/>
        </w:rPr>
        <w:t>Date:</w:t>
      </w:r>
      <w:r w:rsidRPr="001A5ED3">
        <w:rPr>
          <w:rFonts w:ascii="Century Gothic" w:eastAsia="Times New Roman" w:hAnsi="Century Gothic" w:cs="Segoe UI"/>
          <w:sz w:val="28"/>
          <w:szCs w:val="28"/>
          <w:lang w:eastAsia="en-GB"/>
        </w:rPr>
        <w:t xml:space="preserve"> </w:t>
      </w:r>
      <w:r w:rsidR="00345B77" w:rsidRPr="001A5ED3">
        <w:rPr>
          <w:rFonts w:ascii="Century Gothic" w:eastAsia="Times New Roman" w:hAnsi="Century Gothic" w:cs="Segoe UI"/>
          <w:sz w:val="28"/>
          <w:szCs w:val="28"/>
          <w:lang w:eastAsia="en-GB"/>
        </w:rPr>
        <w:t>19</w:t>
      </w:r>
      <w:r w:rsidR="00345B77" w:rsidRPr="001A5ED3">
        <w:rPr>
          <w:rFonts w:ascii="Century Gothic" w:eastAsia="Times New Roman" w:hAnsi="Century Gothic" w:cs="Segoe UI"/>
          <w:sz w:val="28"/>
          <w:szCs w:val="28"/>
          <w:vertAlign w:val="superscript"/>
          <w:lang w:eastAsia="en-GB"/>
        </w:rPr>
        <w:t>th</w:t>
      </w:r>
      <w:r w:rsidR="00345B77" w:rsidRPr="001A5ED3">
        <w:rPr>
          <w:rFonts w:ascii="Century Gothic" w:eastAsia="Times New Roman" w:hAnsi="Century Gothic" w:cs="Segoe UI"/>
          <w:sz w:val="28"/>
          <w:szCs w:val="28"/>
          <w:lang w:eastAsia="en-GB"/>
        </w:rPr>
        <w:t xml:space="preserve"> January 2026. </w:t>
      </w:r>
    </w:p>
    <w:tbl>
      <w:tblPr>
        <w:tblStyle w:val="TableGrid"/>
        <w:tblW w:w="0" w:type="auto"/>
        <w:tblLook w:val="04A0" w:firstRow="1" w:lastRow="0" w:firstColumn="1" w:lastColumn="0" w:noHBand="0" w:noVBand="1"/>
      </w:tblPr>
      <w:tblGrid>
        <w:gridCol w:w="4505"/>
        <w:gridCol w:w="4505"/>
      </w:tblGrid>
      <w:tr w:rsidR="00345B77" w:rsidRPr="001A5ED3" w14:paraId="4207CB9A" w14:textId="77777777" w:rsidTr="00345B77">
        <w:tc>
          <w:tcPr>
            <w:tcW w:w="4505" w:type="dxa"/>
          </w:tcPr>
          <w:p w14:paraId="27533DE3" w14:textId="76495F59"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Date of Review:</w:t>
            </w:r>
          </w:p>
        </w:tc>
        <w:tc>
          <w:tcPr>
            <w:tcW w:w="4505" w:type="dxa"/>
          </w:tcPr>
          <w:p w14:paraId="3F79E30A" w14:textId="23C13C6B"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r w:rsidRPr="001A5ED3">
              <w:rPr>
                <w:rFonts w:ascii="Century Gothic" w:eastAsia="Times New Roman" w:hAnsi="Century Gothic" w:cs="Segoe UI"/>
                <w:b/>
                <w:bCs/>
                <w:sz w:val="28"/>
                <w:szCs w:val="28"/>
                <w:lang w:eastAsia="en-GB"/>
              </w:rPr>
              <w:t>Reviewed By:</w:t>
            </w:r>
          </w:p>
        </w:tc>
      </w:tr>
      <w:tr w:rsidR="00345B77" w:rsidRPr="001A5ED3" w14:paraId="648D78C8" w14:textId="77777777" w:rsidTr="00345B77">
        <w:tc>
          <w:tcPr>
            <w:tcW w:w="4505" w:type="dxa"/>
          </w:tcPr>
          <w:p w14:paraId="401AAC09"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c>
          <w:tcPr>
            <w:tcW w:w="4505" w:type="dxa"/>
          </w:tcPr>
          <w:p w14:paraId="5A46ADFC"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r>
      <w:tr w:rsidR="00345B77" w:rsidRPr="001A5ED3" w14:paraId="7290EA05" w14:textId="77777777" w:rsidTr="00345B77">
        <w:tc>
          <w:tcPr>
            <w:tcW w:w="4505" w:type="dxa"/>
          </w:tcPr>
          <w:p w14:paraId="225F8180"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c>
          <w:tcPr>
            <w:tcW w:w="4505" w:type="dxa"/>
          </w:tcPr>
          <w:p w14:paraId="44F7D41B"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r>
      <w:tr w:rsidR="00345B77" w:rsidRPr="001A5ED3" w14:paraId="35DDECBA" w14:textId="77777777" w:rsidTr="00345B77">
        <w:tc>
          <w:tcPr>
            <w:tcW w:w="4505" w:type="dxa"/>
          </w:tcPr>
          <w:p w14:paraId="3C6EB655"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c>
          <w:tcPr>
            <w:tcW w:w="4505" w:type="dxa"/>
          </w:tcPr>
          <w:p w14:paraId="7E559FBC"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r>
      <w:tr w:rsidR="00345B77" w:rsidRPr="001A5ED3" w14:paraId="0FA42562" w14:textId="77777777" w:rsidTr="00345B77">
        <w:tc>
          <w:tcPr>
            <w:tcW w:w="4505" w:type="dxa"/>
          </w:tcPr>
          <w:p w14:paraId="1DCF781C"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c>
          <w:tcPr>
            <w:tcW w:w="4505" w:type="dxa"/>
          </w:tcPr>
          <w:p w14:paraId="3B3F8A29"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r>
      <w:tr w:rsidR="00345B77" w:rsidRPr="001A5ED3" w14:paraId="75642BD7" w14:textId="77777777" w:rsidTr="00345B77">
        <w:tc>
          <w:tcPr>
            <w:tcW w:w="4505" w:type="dxa"/>
          </w:tcPr>
          <w:p w14:paraId="273AD5F4"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c>
          <w:tcPr>
            <w:tcW w:w="4505" w:type="dxa"/>
          </w:tcPr>
          <w:p w14:paraId="172EB1B5"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tc>
      </w:tr>
    </w:tbl>
    <w:p w14:paraId="11830A8B" w14:textId="77777777" w:rsidR="00345B77" w:rsidRPr="001A5ED3" w:rsidRDefault="00345B77" w:rsidP="002F3483">
      <w:pPr>
        <w:spacing w:before="100" w:beforeAutospacing="1" w:after="100" w:afterAutospacing="1"/>
        <w:rPr>
          <w:rFonts w:ascii="Century Gothic" w:eastAsia="Times New Roman" w:hAnsi="Century Gothic" w:cs="Segoe UI"/>
          <w:b/>
          <w:bCs/>
          <w:sz w:val="28"/>
          <w:szCs w:val="28"/>
          <w:lang w:eastAsia="en-GB"/>
        </w:rPr>
      </w:pPr>
    </w:p>
    <w:p w14:paraId="7A75E530" w14:textId="233FDB1E" w:rsidR="0086255E" w:rsidRPr="00F85A8B" w:rsidRDefault="0086255E" w:rsidP="00BD7CC4">
      <w:pPr>
        <w:rPr>
          <w:rFonts w:ascii="Segoe UI" w:hAnsi="Segoe UI" w:cs="Segoe UI"/>
          <w:sz w:val="28"/>
          <w:szCs w:val="28"/>
        </w:rPr>
      </w:pPr>
    </w:p>
    <w:sectPr w:rsidR="0086255E" w:rsidRPr="00F85A8B"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9C7" w14:textId="77777777" w:rsidR="007E045F" w:rsidRDefault="007E045F" w:rsidP="00461B71">
      <w:r>
        <w:separator/>
      </w:r>
    </w:p>
  </w:endnote>
  <w:endnote w:type="continuationSeparator" w:id="0">
    <w:p w14:paraId="2A5B9707" w14:textId="77777777" w:rsidR="007E045F" w:rsidRDefault="007E045F"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5D595AA2" w:rsidR="00461B71" w:rsidRDefault="00461B71" w:rsidP="00461B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2387" w14:textId="77777777" w:rsidR="007E045F" w:rsidRDefault="007E045F" w:rsidP="00461B71">
      <w:r>
        <w:separator/>
      </w:r>
    </w:p>
  </w:footnote>
  <w:footnote w:type="continuationSeparator" w:id="0">
    <w:p w14:paraId="2C38EE50" w14:textId="77777777" w:rsidR="007E045F" w:rsidRDefault="007E045F"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CE49A8"/>
    <w:multiLevelType w:val="multilevel"/>
    <w:tmpl w:val="FF78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4D0871"/>
    <w:multiLevelType w:val="multilevel"/>
    <w:tmpl w:val="2B3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6620E2"/>
    <w:multiLevelType w:val="multilevel"/>
    <w:tmpl w:val="7016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B62594"/>
    <w:multiLevelType w:val="multilevel"/>
    <w:tmpl w:val="CF36F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97519"/>
    <w:multiLevelType w:val="multilevel"/>
    <w:tmpl w:val="141A6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E1EEE"/>
    <w:multiLevelType w:val="multilevel"/>
    <w:tmpl w:val="8A7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D1106D"/>
    <w:multiLevelType w:val="multilevel"/>
    <w:tmpl w:val="D352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33EE7"/>
    <w:multiLevelType w:val="hybridMultilevel"/>
    <w:tmpl w:val="C42A0C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7"/>
  </w:num>
  <w:num w:numId="10" w16cid:durableId="2111121829">
    <w:abstractNumId w:val="25"/>
  </w:num>
  <w:num w:numId="11" w16cid:durableId="1461605065">
    <w:abstractNumId w:val="27"/>
  </w:num>
  <w:num w:numId="12" w16cid:durableId="1644240040">
    <w:abstractNumId w:val="20"/>
  </w:num>
  <w:num w:numId="13" w16cid:durableId="786657454">
    <w:abstractNumId w:val="12"/>
  </w:num>
  <w:num w:numId="14" w16cid:durableId="66192332">
    <w:abstractNumId w:val="18"/>
  </w:num>
  <w:num w:numId="15" w16cid:durableId="208804397">
    <w:abstractNumId w:val="24"/>
  </w:num>
  <w:num w:numId="16" w16cid:durableId="50662035">
    <w:abstractNumId w:val="30"/>
  </w:num>
  <w:num w:numId="17" w16cid:durableId="682321395">
    <w:abstractNumId w:val="16"/>
  </w:num>
  <w:num w:numId="18" w16cid:durableId="179973292">
    <w:abstractNumId w:val="29"/>
  </w:num>
  <w:num w:numId="19" w16cid:durableId="1122847276">
    <w:abstractNumId w:val="8"/>
  </w:num>
  <w:num w:numId="20" w16cid:durableId="1743716805">
    <w:abstractNumId w:val="23"/>
  </w:num>
  <w:num w:numId="21" w16cid:durableId="355347401">
    <w:abstractNumId w:val="9"/>
  </w:num>
  <w:num w:numId="22" w16cid:durableId="150758426">
    <w:abstractNumId w:val="10"/>
  </w:num>
  <w:num w:numId="23" w16cid:durableId="293870834">
    <w:abstractNumId w:val="31"/>
  </w:num>
  <w:num w:numId="24" w16cid:durableId="1224290820">
    <w:abstractNumId w:val="19"/>
  </w:num>
  <w:num w:numId="25" w16cid:durableId="1453090000">
    <w:abstractNumId w:val="15"/>
  </w:num>
  <w:num w:numId="26" w16cid:durableId="1750692135">
    <w:abstractNumId w:val="22"/>
  </w:num>
  <w:num w:numId="27" w16cid:durableId="1587109137">
    <w:abstractNumId w:val="21"/>
  </w:num>
  <w:num w:numId="28" w16cid:durableId="641927532">
    <w:abstractNumId w:val="13"/>
  </w:num>
  <w:num w:numId="29" w16cid:durableId="387924641">
    <w:abstractNumId w:val="14"/>
  </w:num>
  <w:num w:numId="30" w16cid:durableId="1959794335">
    <w:abstractNumId w:val="26"/>
  </w:num>
  <w:num w:numId="31" w16cid:durableId="1608122592">
    <w:abstractNumId w:val="11"/>
  </w:num>
  <w:num w:numId="32" w16cid:durableId="5116532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1A5ED3"/>
    <w:rsid w:val="001E480E"/>
    <w:rsid w:val="002C4746"/>
    <w:rsid w:val="002F3483"/>
    <w:rsid w:val="00345B77"/>
    <w:rsid w:val="003C7508"/>
    <w:rsid w:val="00461B71"/>
    <w:rsid w:val="004B5289"/>
    <w:rsid w:val="00503F08"/>
    <w:rsid w:val="0064046C"/>
    <w:rsid w:val="0075325E"/>
    <w:rsid w:val="00770D68"/>
    <w:rsid w:val="007B752E"/>
    <w:rsid w:val="007C29E6"/>
    <w:rsid w:val="007E045F"/>
    <w:rsid w:val="00836676"/>
    <w:rsid w:val="0086255E"/>
    <w:rsid w:val="00A76B9D"/>
    <w:rsid w:val="00A82353"/>
    <w:rsid w:val="00BD7CC4"/>
    <w:rsid w:val="00BE20C5"/>
    <w:rsid w:val="00D84D52"/>
    <w:rsid w:val="00F33E77"/>
    <w:rsid w:val="00F51375"/>
    <w:rsid w:val="00F85A8B"/>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 w:type="paragraph" w:styleId="ListParagraph">
    <w:name w:val="List Paragraph"/>
    <w:basedOn w:val="Normal"/>
    <w:uiPriority w:val="34"/>
    <w:qFormat/>
    <w:rsid w:val="00836676"/>
    <w:pPr>
      <w:ind w:left="720"/>
      <w:contextualSpacing/>
    </w:pPr>
  </w:style>
  <w:style w:type="table" w:styleId="TableGrid">
    <w:name w:val="Table Grid"/>
    <w:basedOn w:val="TableNormal"/>
    <w:uiPriority w:val="39"/>
    <w:rsid w:val="00345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1183125724">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dcterms:created xsi:type="dcterms:W3CDTF">2026-01-19T18:44:00Z</dcterms:created>
  <dcterms:modified xsi:type="dcterms:W3CDTF">2026-01-22T10:33:00Z</dcterms:modified>
</cp:coreProperties>
</file>