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3-Accent1"/>
        <w:tblW w:w="0" w:type="auto"/>
        <w:jc w:val="center"/>
        <w:tblLook w:val="04A0" w:firstRow="1" w:lastRow="0" w:firstColumn="1" w:lastColumn="0" w:noHBand="0" w:noVBand="1"/>
      </w:tblPr>
      <w:tblGrid>
        <w:gridCol w:w="9350"/>
      </w:tblGrid>
      <w:tr w:rsidR="00B11749" w:rsidRPr="00B11749" w14:paraId="7C9D2AD7" w14:textId="77777777" w:rsidTr="5EBD0E52">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350" w:type="dxa"/>
          </w:tcPr>
          <w:p w14:paraId="447FF9C1" w14:textId="4C215153" w:rsidR="00B11749" w:rsidRPr="00B11749" w:rsidRDefault="46AA97AD" w:rsidP="00B11749">
            <w:pPr>
              <w:spacing w:after="100"/>
              <w:jc w:val="center"/>
              <w:rPr>
                <w:rFonts w:ascii="Arial" w:eastAsia="Times New Roman" w:hAnsi="Arial" w:cs="Arial"/>
                <w:color w:val="000000" w:themeColor="text1"/>
                <w:sz w:val="28"/>
                <w:szCs w:val="28"/>
              </w:rPr>
            </w:pPr>
            <w:r w:rsidRPr="5EBD0E52">
              <w:rPr>
                <w:rFonts w:ascii="Arial" w:eastAsia="Times New Roman" w:hAnsi="Arial" w:cs="Arial"/>
                <w:color w:val="000000" w:themeColor="text1"/>
                <w:sz w:val="28"/>
                <w:szCs w:val="28"/>
              </w:rPr>
              <w:t xml:space="preserve">Wyoming </w:t>
            </w:r>
            <w:r w:rsidR="00AB6E9F" w:rsidRPr="5EBD0E52">
              <w:rPr>
                <w:rFonts w:ascii="Arial" w:eastAsia="Times New Roman" w:hAnsi="Arial" w:cs="Arial"/>
                <w:color w:val="000000" w:themeColor="text1"/>
                <w:sz w:val="28"/>
                <w:szCs w:val="28"/>
              </w:rPr>
              <w:t xml:space="preserve">LIHTC/HOME </w:t>
            </w:r>
            <w:r w:rsidR="00B11749" w:rsidRPr="5EBD0E52">
              <w:rPr>
                <w:rFonts w:ascii="Arial" w:eastAsia="Times New Roman" w:hAnsi="Arial" w:cs="Arial"/>
                <w:color w:val="000000" w:themeColor="text1"/>
                <w:sz w:val="28"/>
                <w:szCs w:val="28"/>
              </w:rPr>
              <w:t>Resident Selection Plan</w:t>
            </w:r>
          </w:p>
        </w:tc>
      </w:tr>
    </w:tbl>
    <w:p w14:paraId="4676360D" w14:textId="77777777" w:rsidR="00B11749" w:rsidRDefault="00B11749" w:rsidP="00B11749">
      <w:pPr>
        <w:spacing w:after="100"/>
        <w:jc w:val="both"/>
        <w:rPr>
          <w:rFonts w:ascii="Arial" w:eastAsia="Times New Roman" w:hAnsi="Arial" w:cs="Arial"/>
          <w:color w:val="000000" w:themeColor="text1"/>
          <w:sz w:val="22"/>
          <w:szCs w:val="22"/>
        </w:rPr>
      </w:pPr>
    </w:p>
    <w:p w14:paraId="197E5600" w14:textId="1EB5FB4B" w:rsidR="00B11749" w:rsidRPr="00B11749" w:rsidRDefault="00222AC0" w:rsidP="00B11749">
      <w:pPr>
        <w:pStyle w:val="ListParagraph"/>
        <w:numPr>
          <w:ilvl w:val="0"/>
          <w:numId w:val="1"/>
        </w:numPr>
        <w:spacing w:after="100"/>
        <w:jc w:val="both"/>
        <w:rPr>
          <w:rFonts w:ascii="Arial" w:eastAsia="Times New Roman" w:hAnsi="Arial" w:cs="Arial"/>
          <w:b/>
          <w:i/>
          <w:color w:val="000000" w:themeColor="text1"/>
          <w:sz w:val="22"/>
          <w:szCs w:val="22"/>
        </w:rPr>
      </w:pPr>
      <w:r w:rsidRPr="00B11749">
        <w:rPr>
          <w:rFonts w:ascii="Arial" w:eastAsia="Times New Roman" w:hAnsi="Arial" w:cs="Arial"/>
          <w:b/>
          <w:i/>
          <w:color w:val="000000" w:themeColor="text1"/>
          <w:sz w:val="22"/>
          <w:szCs w:val="22"/>
        </w:rPr>
        <w:t xml:space="preserve">The Purpose of the Resident Selection Plan </w:t>
      </w:r>
    </w:p>
    <w:p w14:paraId="2A4E7B95" w14:textId="0EDE73A7" w:rsidR="00B11749" w:rsidRDefault="00AB6E9F" w:rsidP="00B11749">
      <w:p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Freestone Apartments was established to provide safe and affordable housing for low income and moderate income individuals as defined in the eligibility criteria below. The property has signed a LIHTC and HOME Use/Regulatory Agreement restricting the use of the property to eligible households as stated in the Affordable Housing Tax Credit Program.</w:t>
      </w:r>
    </w:p>
    <w:p w14:paraId="1B181EA9" w14:textId="77777777" w:rsidR="00B11749" w:rsidRPr="00B11749" w:rsidRDefault="00B11749" w:rsidP="00B11749">
      <w:pPr>
        <w:spacing w:after="100"/>
        <w:rPr>
          <w:rFonts w:ascii="Arial" w:eastAsia="Times New Roman" w:hAnsi="Arial" w:cs="Arial"/>
          <w:b/>
          <w:i/>
          <w:color w:val="000000" w:themeColor="text1"/>
          <w:sz w:val="22"/>
          <w:szCs w:val="22"/>
        </w:rPr>
      </w:pPr>
    </w:p>
    <w:p w14:paraId="5DC02686" w14:textId="1FE7CFB5" w:rsidR="00B11749" w:rsidRPr="00B11749" w:rsidRDefault="00222AC0" w:rsidP="00B11749">
      <w:pPr>
        <w:pStyle w:val="ListParagraph"/>
        <w:numPr>
          <w:ilvl w:val="0"/>
          <w:numId w:val="1"/>
        </w:numPr>
        <w:spacing w:after="100"/>
        <w:rPr>
          <w:rFonts w:ascii="Arial" w:eastAsia="Times New Roman" w:hAnsi="Arial" w:cs="Arial"/>
          <w:b/>
          <w:i/>
          <w:color w:val="000000" w:themeColor="text1"/>
          <w:sz w:val="22"/>
          <w:szCs w:val="22"/>
        </w:rPr>
      </w:pPr>
      <w:r w:rsidRPr="00B11749">
        <w:rPr>
          <w:rFonts w:ascii="Arial" w:eastAsia="Times New Roman" w:hAnsi="Arial" w:cs="Arial"/>
          <w:b/>
          <w:i/>
          <w:color w:val="000000" w:themeColor="text1"/>
          <w:sz w:val="22"/>
          <w:szCs w:val="22"/>
        </w:rPr>
        <w:t xml:space="preserve">The Availability of the Resident Selection Plan </w:t>
      </w:r>
    </w:p>
    <w:p w14:paraId="6E2196E7" w14:textId="3FA93B19" w:rsidR="00222AC0" w:rsidRPr="00222AC0" w:rsidRDefault="00222AC0" w:rsidP="00B11749">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The Resident Selection Plan is available to the public upon request. It may be reviewed in the rental office during normal office hours</w:t>
      </w:r>
      <w:r w:rsidR="00AB6E9F">
        <w:rPr>
          <w:rFonts w:ascii="Arial" w:eastAsia="Times New Roman" w:hAnsi="Arial" w:cs="Arial"/>
          <w:color w:val="000000" w:themeColor="text1"/>
          <w:sz w:val="22"/>
          <w:szCs w:val="22"/>
        </w:rPr>
        <w:t xml:space="preserve"> or at anytime at our website: www.blpmc.com/freestone</w:t>
      </w:r>
    </w:p>
    <w:p w14:paraId="6BF396AE" w14:textId="77777777" w:rsidR="00B11749" w:rsidRPr="00B11749" w:rsidRDefault="00B11749" w:rsidP="00222AC0">
      <w:pPr>
        <w:spacing w:after="100"/>
        <w:rPr>
          <w:rFonts w:ascii="Arial" w:eastAsia="Times New Roman" w:hAnsi="Arial" w:cs="Arial"/>
          <w:b/>
          <w:i/>
          <w:color w:val="000000" w:themeColor="text1"/>
          <w:sz w:val="22"/>
          <w:szCs w:val="22"/>
        </w:rPr>
      </w:pPr>
    </w:p>
    <w:p w14:paraId="442DEA16" w14:textId="77777777" w:rsidR="00B11749" w:rsidRPr="00B11749" w:rsidRDefault="00222AC0" w:rsidP="00B11749">
      <w:pPr>
        <w:pStyle w:val="ListParagraph"/>
        <w:numPr>
          <w:ilvl w:val="0"/>
          <w:numId w:val="1"/>
        </w:numPr>
        <w:spacing w:after="100"/>
        <w:rPr>
          <w:rFonts w:ascii="Arial" w:eastAsia="Times New Roman" w:hAnsi="Arial" w:cs="Arial"/>
          <w:b/>
          <w:i/>
          <w:color w:val="000000" w:themeColor="text1"/>
          <w:sz w:val="22"/>
          <w:szCs w:val="22"/>
        </w:rPr>
      </w:pPr>
      <w:r w:rsidRPr="00B11749">
        <w:rPr>
          <w:rFonts w:ascii="Arial" w:eastAsia="Times New Roman" w:hAnsi="Arial" w:cs="Arial"/>
          <w:b/>
          <w:i/>
          <w:color w:val="000000" w:themeColor="text1"/>
          <w:sz w:val="22"/>
          <w:szCs w:val="22"/>
        </w:rPr>
        <w:t xml:space="preserve">Equal Opportunity and Nondiscrimination Policy </w:t>
      </w:r>
    </w:p>
    <w:p w14:paraId="19A7208B" w14:textId="4B61CC9F" w:rsidR="00222AC0" w:rsidRPr="00B11749" w:rsidRDefault="00222AC0" w:rsidP="00B11749">
      <w:pPr>
        <w:spacing w:after="100"/>
        <w:jc w:val="both"/>
        <w:rPr>
          <w:rFonts w:ascii="Arial" w:eastAsia="Times New Roman" w:hAnsi="Arial" w:cs="Arial"/>
          <w:color w:val="000000" w:themeColor="text1"/>
          <w:sz w:val="22"/>
          <w:szCs w:val="22"/>
        </w:rPr>
      </w:pPr>
      <w:r w:rsidRPr="00B11749">
        <w:rPr>
          <w:rFonts w:ascii="Arial" w:eastAsia="Times New Roman" w:hAnsi="Arial" w:cs="Arial"/>
          <w:color w:val="000000" w:themeColor="text1"/>
          <w:sz w:val="22"/>
          <w:szCs w:val="22"/>
        </w:rPr>
        <w:t xml:space="preserve">The </w:t>
      </w:r>
      <w:r w:rsidR="00B11749">
        <w:rPr>
          <w:rFonts w:ascii="Arial" w:eastAsia="Times New Roman" w:hAnsi="Arial" w:cs="Arial"/>
          <w:color w:val="000000" w:themeColor="text1"/>
          <w:sz w:val="22"/>
          <w:szCs w:val="22"/>
        </w:rPr>
        <w:t>BlueLine Property Management company</w:t>
      </w:r>
      <w:r w:rsidRPr="00B11749">
        <w:rPr>
          <w:rFonts w:ascii="Arial" w:eastAsia="Times New Roman" w:hAnsi="Arial" w:cs="Arial"/>
          <w:color w:val="000000" w:themeColor="text1"/>
          <w:sz w:val="22"/>
          <w:szCs w:val="22"/>
        </w:rPr>
        <w:t xml:space="preserve"> operates Equal Housing Opportunity communities. As such, all properties associated with </w:t>
      </w:r>
      <w:r w:rsidR="00B11749">
        <w:rPr>
          <w:rFonts w:ascii="Arial" w:eastAsia="Times New Roman" w:hAnsi="Arial" w:cs="Arial"/>
          <w:color w:val="000000" w:themeColor="text1"/>
          <w:sz w:val="22"/>
          <w:szCs w:val="22"/>
        </w:rPr>
        <w:t>BlueLine Property Management</w:t>
      </w:r>
      <w:r w:rsidRPr="00B11749">
        <w:rPr>
          <w:rFonts w:ascii="Arial" w:eastAsia="Times New Roman" w:hAnsi="Arial" w:cs="Arial"/>
          <w:color w:val="000000" w:themeColor="text1"/>
          <w:sz w:val="22"/>
          <w:szCs w:val="22"/>
        </w:rPr>
        <w:t xml:space="preserve"> </w:t>
      </w:r>
      <w:r w:rsidR="00B11749" w:rsidRPr="00B11749">
        <w:rPr>
          <w:rFonts w:ascii="Arial" w:eastAsia="Times New Roman" w:hAnsi="Arial" w:cs="Arial"/>
          <w:color w:val="000000" w:themeColor="text1"/>
          <w:sz w:val="22"/>
          <w:szCs w:val="22"/>
        </w:rPr>
        <w:t>hold</w:t>
      </w:r>
      <w:r w:rsidR="00B11749">
        <w:rPr>
          <w:rFonts w:ascii="Arial" w:eastAsia="Times New Roman" w:hAnsi="Arial" w:cs="Arial"/>
          <w:color w:val="000000" w:themeColor="text1"/>
          <w:sz w:val="22"/>
          <w:szCs w:val="22"/>
        </w:rPr>
        <w:t xml:space="preserve"> to all federal fair housing, ci</w:t>
      </w:r>
      <w:r w:rsidRPr="00B11749">
        <w:rPr>
          <w:rFonts w:ascii="Arial" w:eastAsia="Times New Roman" w:hAnsi="Arial" w:cs="Arial"/>
          <w:color w:val="000000" w:themeColor="text1"/>
          <w:sz w:val="22"/>
          <w:szCs w:val="22"/>
        </w:rPr>
        <w:t>vil rights and state and local regulations concerning nondiscrimination in housing, including:</w:t>
      </w:r>
    </w:p>
    <w:p w14:paraId="0B91E8DE" w14:textId="779F3495" w:rsidR="008B187E" w:rsidRPr="008B187E" w:rsidRDefault="00222AC0" w:rsidP="008B187E">
      <w:pPr>
        <w:pStyle w:val="ListParagraph"/>
        <w:numPr>
          <w:ilvl w:val="0"/>
          <w:numId w:val="2"/>
        </w:numPr>
        <w:spacing w:after="100"/>
        <w:rPr>
          <w:rFonts w:ascii="Arial" w:eastAsia="Times New Roman" w:hAnsi="Arial" w:cs="Arial"/>
          <w:color w:val="000000" w:themeColor="text1"/>
          <w:sz w:val="22"/>
          <w:szCs w:val="22"/>
        </w:rPr>
      </w:pPr>
      <w:r w:rsidRPr="008B187E">
        <w:rPr>
          <w:rFonts w:ascii="Arial" w:eastAsia="Times New Roman" w:hAnsi="Arial" w:cs="Arial"/>
          <w:b/>
          <w:i/>
          <w:color w:val="000000" w:themeColor="text1"/>
          <w:sz w:val="22"/>
          <w:szCs w:val="22"/>
        </w:rPr>
        <w:t xml:space="preserve">The Fair Housing </w:t>
      </w:r>
      <w:r w:rsidR="008B187E" w:rsidRPr="008B187E">
        <w:rPr>
          <w:rFonts w:ascii="Arial" w:eastAsia="Times New Roman" w:hAnsi="Arial" w:cs="Arial"/>
          <w:b/>
          <w:i/>
          <w:color w:val="000000" w:themeColor="text1"/>
          <w:sz w:val="22"/>
          <w:szCs w:val="22"/>
        </w:rPr>
        <w:t xml:space="preserve">Act; </w:t>
      </w:r>
      <w:r w:rsidR="008B187E" w:rsidRPr="008B187E">
        <w:rPr>
          <w:rFonts w:ascii="Arial" w:eastAsia="Times New Roman" w:hAnsi="Arial" w:cs="Arial"/>
          <w:color w:val="000000" w:themeColor="text1"/>
          <w:sz w:val="22"/>
          <w:szCs w:val="22"/>
        </w:rPr>
        <w:t>which</w:t>
      </w:r>
      <w:r w:rsidRPr="008B187E">
        <w:rPr>
          <w:rFonts w:ascii="Arial" w:eastAsia="Times New Roman" w:hAnsi="Arial" w:cs="Arial"/>
          <w:color w:val="000000" w:themeColor="text1"/>
          <w:sz w:val="22"/>
          <w:szCs w:val="22"/>
        </w:rPr>
        <w:t xml:space="preserve"> prohibits discrimination in housing and housing related transactions</w:t>
      </w:r>
      <w:r w:rsidR="00B11749" w:rsidRPr="008B187E">
        <w:rPr>
          <w:rFonts w:ascii="Arial" w:eastAsia="Times New Roman" w:hAnsi="Arial" w:cs="Arial"/>
          <w:color w:val="000000" w:themeColor="text1"/>
          <w:sz w:val="22"/>
          <w:szCs w:val="22"/>
        </w:rPr>
        <w:t xml:space="preserve"> </w:t>
      </w:r>
      <w:r w:rsidRPr="008B187E">
        <w:rPr>
          <w:rFonts w:ascii="Arial" w:eastAsia="Times New Roman" w:hAnsi="Arial" w:cs="Arial"/>
          <w:color w:val="000000" w:themeColor="text1"/>
          <w:sz w:val="22"/>
          <w:szCs w:val="22"/>
        </w:rPr>
        <w:t>based on race, color, religion, sex, national origin, disability and familial status. The Fair Housing</w:t>
      </w:r>
      <w:r w:rsidR="008B187E" w:rsidRPr="008B187E">
        <w:rPr>
          <w:rFonts w:ascii="Arial" w:eastAsia="Times New Roman" w:hAnsi="Arial" w:cs="Arial"/>
          <w:color w:val="000000" w:themeColor="text1"/>
          <w:sz w:val="22"/>
          <w:szCs w:val="22"/>
        </w:rPr>
        <w:t xml:space="preserve"> </w:t>
      </w:r>
      <w:r w:rsidRPr="008B187E">
        <w:rPr>
          <w:rFonts w:ascii="Arial" w:eastAsia="Times New Roman" w:hAnsi="Arial" w:cs="Arial"/>
          <w:color w:val="000000" w:themeColor="text1"/>
          <w:sz w:val="22"/>
          <w:szCs w:val="22"/>
        </w:rPr>
        <w:t>Act applies to housing regardless if federal financial assistance is present or no</w:t>
      </w:r>
      <w:r w:rsidR="008B187E" w:rsidRPr="008B187E">
        <w:rPr>
          <w:rFonts w:ascii="Arial" w:eastAsia="Times New Roman" w:hAnsi="Arial" w:cs="Arial"/>
          <w:color w:val="000000" w:themeColor="text1"/>
          <w:sz w:val="22"/>
          <w:szCs w:val="22"/>
        </w:rPr>
        <w:t xml:space="preserve">t. </w:t>
      </w:r>
    </w:p>
    <w:p w14:paraId="20267C4D" w14:textId="77777777" w:rsidR="008B187E" w:rsidRPr="008B187E" w:rsidRDefault="00222AC0" w:rsidP="008B187E">
      <w:pPr>
        <w:pStyle w:val="ListParagraph"/>
        <w:numPr>
          <w:ilvl w:val="0"/>
          <w:numId w:val="2"/>
        </w:numPr>
        <w:spacing w:after="100"/>
        <w:rPr>
          <w:rFonts w:ascii="Arial" w:eastAsia="Times New Roman" w:hAnsi="Arial" w:cs="Arial"/>
          <w:b/>
          <w:i/>
          <w:color w:val="000000" w:themeColor="text1"/>
          <w:sz w:val="22"/>
          <w:szCs w:val="22"/>
        </w:rPr>
      </w:pPr>
      <w:r w:rsidRPr="008B187E">
        <w:rPr>
          <w:rFonts w:ascii="Arial" w:eastAsia="Times New Roman" w:hAnsi="Arial" w:cs="Arial"/>
          <w:b/>
          <w:i/>
          <w:color w:val="000000" w:themeColor="text1"/>
          <w:sz w:val="22"/>
          <w:szCs w:val="22"/>
        </w:rPr>
        <w:t>Title VI of the Civil Rights Act of 1964</w:t>
      </w:r>
      <w:r w:rsidR="008B187E">
        <w:rPr>
          <w:rFonts w:ascii="Arial" w:eastAsia="Times New Roman" w:hAnsi="Arial" w:cs="Arial"/>
          <w:b/>
          <w:i/>
          <w:color w:val="000000" w:themeColor="text1"/>
          <w:sz w:val="22"/>
          <w:szCs w:val="22"/>
        </w:rPr>
        <w:t>;</w:t>
      </w:r>
      <w:r w:rsidRPr="008B187E">
        <w:rPr>
          <w:rFonts w:ascii="Arial" w:eastAsia="Times New Roman" w:hAnsi="Arial" w:cs="Arial"/>
          <w:color w:val="000000" w:themeColor="text1"/>
          <w:sz w:val="22"/>
          <w:szCs w:val="22"/>
        </w:rPr>
        <w:t xml:space="preserve"> which prohibits discrimination based on race, color or</w:t>
      </w:r>
      <w:r w:rsidR="008B187E">
        <w:rPr>
          <w:rFonts w:ascii="Arial" w:eastAsia="Times New Roman" w:hAnsi="Arial" w:cs="Arial"/>
          <w:color w:val="000000" w:themeColor="text1"/>
          <w:sz w:val="22"/>
          <w:szCs w:val="22"/>
        </w:rPr>
        <w:t xml:space="preserve"> </w:t>
      </w:r>
      <w:r w:rsidRPr="008B187E">
        <w:rPr>
          <w:rFonts w:ascii="Arial" w:eastAsia="Times New Roman" w:hAnsi="Arial" w:cs="Arial"/>
          <w:color w:val="000000" w:themeColor="text1"/>
          <w:sz w:val="22"/>
          <w:szCs w:val="22"/>
        </w:rPr>
        <w:t xml:space="preserve">national origin in any program or activity receiving </w:t>
      </w:r>
      <w:r w:rsidR="008B187E">
        <w:rPr>
          <w:rFonts w:ascii="Arial" w:eastAsia="Times New Roman" w:hAnsi="Arial" w:cs="Arial"/>
          <w:color w:val="000000" w:themeColor="text1"/>
          <w:sz w:val="22"/>
          <w:szCs w:val="22"/>
        </w:rPr>
        <w:t xml:space="preserve">federal financial </w:t>
      </w:r>
      <w:r w:rsidR="008B187E" w:rsidRPr="008B187E">
        <w:rPr>
          <w:rFonts w:ascii="Arial" w:eastAsia="Times New Roman" w:hAnsi="Arial" w:cs="Arial"/>
          <w:b/>
          <w:i/>
          <w:color w:val="000000" w:themeColor="text1"/>
          <w:sz w:val="22"/>
          <w:szCs w:val="22"/>
        </w:rPr>
        <w:t xml:space="preserve">assistance. </w:t>
      </w:r>
    </w:p>
    <w:p w14:paraId="41F2C404" w14:textId="77777777" w:rsidR="008B187E" w:rsidRDefault="00222AC0" w:rsidP="008B187E">
      <w:pPr>
        <w:pStyle w:val="ListParagraph"/>
        <w:numPr>
          <w:ilvl w:val="0"/>
          <w:numId w:val="2"/>
        </w:numPr>
        <w:spacing w:after="100"/>
        <w:rPr>
          <w:rFonts w:ascii="Arial" w:eastAsia="Times New Roman" w:hAnsi="Arial" w:cs="Arial"/>
          <w:color w:val="000000" w:themeColor="text1"/>
          <w:sz w:val="22"/>
          <w:szCs w:val="22"/>
        </w:rPr>
      </w:pPr>
      <w:r w:rsidRPr="008B187E">
        <w:rPr>
          <w:rFonts w:ascii="Arial" w:eastAsia="Times New Roman" w:hAnsi="Arial" w:cs="Arial"/>
          <w:b/>
          <w:i/>
          <w:color w:val="000000" w:themeColor="text1"/>
          <w:sz w:val="22"/>
          <w:szCs w:val="22"/>
        </w:rPr>
        <w:t>Age Discrimination Act of 1975</w:t>
      </w:r>
      <w:r w:rsidR="008B187E">
        <w:rPr>
          <w:rFonts w:ascii="Arial" w:eastAsia="Times New Roman" w:hAnsi="Arial" w:cs="Arial"/>
          <w:b/>
          <w:i/>
          <w:color w:val="000000" w:themeColor="text1"/>
          <w:sz w:val="22"/>
          <w:szCs w:val="22"/>
        </w:rPr>
        <w:t>;</w:t>
      </w:r>
      <w:r w:rsidRPr="008B187E">
        <w:rPr>
          <w:rFonts w:ascii="Arial" w:eastAsia="Times New Roman" w:hAnsi="Arial" w:cs="Arial"/>
          <w:color w:val="000000" w:themeColor="text1"/>
          <w:sz w:val="22"/>
          <w:szCs w:val="22"/>
        </w:rPr>
        <w:t xml:space="preserve"> which prohibits discrimination based upon age in any program</w:t>
      </w:r>
      <w:r w:rsidR="008B187E">
        <w:rPr>
          <w:rFonts w:ascii="Arial" w:eastAsia="Times New Roman" w:hAnsi="Arial" w:cs="Arial"/>
          <w:color w:val="000000" w:themeColor="text1"/>
          <w:sz w:val="22"/>
          <w:szCs w:val="22"/>
        </w:rPr>
        <w:t xml:space="preserve"> </w:t>
      </w:r>
      <w:r w:rsidRPr="008B187E">
        <w:rPr>
          <w:rFonts w:ascii="Arial" w:eastAsia="Times New Roman" w:hAnsi="Arial" w:cs="Arial"/>
          <w:color w:val="000000" w:themeColor="text1"/>
          <w:sz w:val="22"/>
          <w:szCs w:val="22"/>
        </w:rPr>
        <w:t>or activity receiving federal financial assistance, exce</w:t>
      </w:r>
      <w:r w:rsidR="008B187E">
        <w:rPr>
          <w:rFonts w:ascii="Arial" w:eastAsia="Times New Roman" w:hAnsi="Arial" w:cs="Arial"/>
          <w:color w:val="000000" w:themeColor="text1"/>
          <w:sz w:val="22"/>
          <w:szCs w:val="22"/>
        </w:rPr>
        <w:t>pt in limited circumstances.</w:t>
      </w:r>
    </w:p>
    <w:p w14:paraId="4382F939" w14:textId="77777777" w:rsidR="008B187E" w:rsidRDefault="00222AC0" w:rsidP="008B187E">
      <w:pPr>
        <w:pStyle w:val="ListParagraph"/>
        <w:numPr>
          <w:ilvl w:val="0"/>
          <w:numId w:val="2"/>
        </w:numPr>
        <w:spacing w:after="100"/>
        <w:rPr>
          <w:rFonts w:ascii="Arial" w:eastAsia="Times New Roman" w:hAnsi="Arial" w:cs="Arial"/>
          <w:color w:val="000000" w:themeColor="text1"/>
          <w:sz w:val="22"/>
          <w:szCs w:val="22"/>
        </w:rPr>
      </w:pPr>
      <w:r w:rsidRPr="008B187E">
        <w:rPr>
          <w:rFonts w:ascii="Arial" w:eastAsia="Times New Roman" w:hAnsi="Arial" w:cs="Arial"/>
          <w:b/>
          <w:i/>
          <w:color w:val="000000" w:themeColor="text1"/>
          <w:sz w:val="22"/>
          <w:szCs w:val="22"/>
        </w:rPr>
        <w:t>Section 504 of the Rehabilitation Act of 1973</w:t>
      </w:r>
      <w:r w:rsidR="008B187E">
        <w:rPr>
          <w:rFonts w:ascii="Arial" w:eastAsia="Times New Roman" w:hAnsi="Arial" w:cs="Arial"/>
          <w:color w:val="000000" w:themeColor="text1"/>
          <w:sz w:val="22"/>
          <w:szCs w:val="22"/>
        </w:rPr>
        <w:t>;</w:t>
      </w:r>
      <w:r w:rsidRPr="008B187E">
        <w:rPr>
          <w:rFonts w:ascii="Arial" w:eastAsia="Times New Roman" w:hAnsi="Arial" w:cs="Arial"/>
          <w:color w:val="000000" w:themeColor="text1"/>
          <w:sz w:val="22"/>
          <w:szCs w:val="22"/>
        </w:rPr>
        <w:t xml:space="preserve"> which prohibits discrimination based on the</w:t>
      </w:r>
      <w:r w:rsidR="008B187E">
        <w:rPr>
          <w:rFonts w:ascii="Arial" w:eastAsia="Times New Roman" w:hAnsi="Arial" w:cs="Arial"/>
          <w:color w:val="000000" w:themeColor="text1"/>
          <w:sz w:val="22"/>
          <w:szCs w:val="22"/>
        </w:rPr>
        <w:t xml:space="preserve"> </w:t>
      </w:r>
      <w:r w:rsidRPr="008B187E">
        <w:rPr>
          <w:rFonts w:ascii="Arial" w:eastAsia="Times New Roman" w:hAnsi="Arial" w:cs="Arial"/>
          <w:color w:val="000000" w:themeColor="text1"/>
          <w:sz w:val="22"/>
          <w:szCs w:val="22"/>
        </w:rPr>
        <w:t>presence of a disability in all programs or activities operated by recipients of federal financial</w:t>
      </w:r>
      <w:r w:rsidR="008B187E">
        <w:rPr>
          <w:rFonts w:ascii="Arial" w:eastAsia="Times New Roman" w:hAnsi="Arial" w:cs="Arial"/>
          <w:color w:val="000000" w:themeColor="text1"/>
          <w:sz w:val="22"/>
          <w:szCs w:val="22"/>
        </w:rPr>
        <w:t xml:space="preserve"> assistance.</w:t>
      </w:r>
    </w:p>
    <w:p w14:paraId="03B96B69" w14:textId="0B0C102A" w:rsidR="004B39F8" w:rsidRPr="004B39F8" w:rsidRDefault="00222AC0" w:rsidP="004B39F8">
      <w:pPr>
        <w:pStyle w:val="ListParagraph"/>
        <w:numPr>
          <w:ilvl w:val="0"/>
          <w:numId w:val="2"/>
        </w:numPr>
        <w:spacing w:after="100"/>
        <w:rPr>
          <w:rFonts w:ascii="Arial" w:eastAsia="Times New Roman" w:hAnsi="Arial" w:cs="Arial"/>
          <w:color w:val="000000" w:themeColor="text1"/>
          <w:sz w:val="22"/>
          <w:szCs w:val="22"/>
        </w:rPr>
      </w:pPr>
      <w:r w:rsidRPr="008B187E">
        <w:rPr>
          <w:rFonts w:ascii="Arial" w:eastAsia="Times New Roman" w:hAnsi="Arial" w:cs="Arial"/>
          <w:b/>
          <w:i/>
          <w:color w:val="000000" w:themeColor="text1"/>
          <w:sz w:val="22"/>
          <w:szCs w:val="22"/>
        </w:rPr>
        <w:t>The Equal Access Rule</w:t>
      </w:r>
      <w:r w:rsidR="008B187E">
        <w:rPr>
          <w:rFonts w:ascii="Arial" w:eastAsia="Times New Roman" w:hAnsi="Arial" w:cs="Arial"/>
          <w:b/>
          <w:i/>
          <w:color w:val="000000" w:themeColor="text1"/>
          <w:sz w:val="22"/>
          <w:szCs w:val="22"/>
        </w:rPr>
        <w:t>;</w:t>
      </w:r>
      <w:r w:rsidRPr="008B187E">
        <w:rPr>
          <w:rFonts w:ascii="Arial" w:eastAsia="Times New Roman" w:hAnsi="Arial" w:cs="Arial"/>
          <w:color w:val="000000" w:themeColor="text1"/>
          <w:sz w:val="22"/>
          <w:szCs w:val="22"/>
        </w:rPr>
        <w:t xml:space="preserve"> which ensures equal access to individuals in accordance with their</w:t>
      </w:r>
      <w:r w:rsidR="008B187E">
        <w:rPr>
          <w:rFonts w:ascii="Arial" w:eastAsia="Times New Roman" w:hAnsi="Arial" w:cs="Arial"/>
          <w:color w:val="000000" w:themeColor="text1"/>
          <w:sz w:val="22"/>
          <w:szCs w:val="22"/>
        </w:rPr>
        <w:t xml:space="preserve"> gender identity. </w:t>
      </w:r>
    </w:p>
    <w:p w14:paraId="15606376" w14:textId="5CFEE36A" w:rsidR="00222AC0" w:rsidRPr="004B39F8" w:rsidRDefault="00222AC0" w:rsidP="35CE7578">
      <w:pPr>
        <w:pStyle w:val="ListParagraph"/>
        <w:numPr>
          <w:ilvl w:val="0"/>
          <w:numId w:val="2"/>
        </w:numPr>
        <w:spacing w:after="100"/>
        <w:rPr>
          <w:rFonts w:ascii="Arial" w:eastAsia="Times New Roman" w:hAnsi="Arial" w:cs="Arial"/>
          <w:b/>
          <w:bCs/>
          <w:i/>
          <w:iCs/>
          <w:color w:val="000000" w:themeColor="text1"/>
          <w:sz w:val="22"/>
          <w:szCs w:val="22"/>
        </w:rPr>
      </w:pPr>
      <w:r w:rsidRPr="35CE7578">
        <w:rPr>
          <w:rFonts w:ascii="Arial" w:eastAsia="Times New Roman" w:hAnsi="Arial" w:cs="Arial"/>
          <w:b/>
          <w:bCs/>
          <w:i/>
          <w:iCs/>
          <w:color w:val="000000" w:themeColor="text1"/>
          <w:sz w:val="22"/>
          <w:szCs w:val="22"/>
        </w:rPr>
        <w:t>The Equal Credit Opportunity Act</w:t>
      </w:r>
      <w:r w:rsidR="008B187E" w:rsidRPr="35CE7578">
        <w:rPr>
          <w:rFonts w:ascii="Arial" w:eastAsia="Times New Roman" w:hAnsi="Arial" w:cs="Arial"/>
          <w:b/>
          <w:bCs/>
          <w:i/>
          <w:iCs/>
          <w:color w:val="000000" w:themeColor="text1"/>
          <w:sz w:val="22"/>
          <w:szCs w:val="22"/>
        </w:rPr>
        <w:t>;</w:t>
      </w:r>
      <w:r w:rsidR="004B39F8" w:rsidRPr="35CE7578">
        <w:rPr>
          <w:rFonts w:ascii="Arial" w:eastAsia="Times New Roman" w:hAnsi="Arial" w:cs="Arial"/>
          <w:b/>
          <w:bCs/>
          <w:i/>
          <w:iCs/>
          <w:color w:val="000000" w:themeColor="text1"/>
          <w:sz w:val="22"/>
          <w:szCs w:val="22"/>
        </w:rPr>
        <w:t xml:space="preserve"> </w:t>
      </w:r>
      <w:r w:rsidRPr="35CE7578">
        <w:rPr>
          <w:rFonts w:ascii="Arial" w:eastAsia="Times New Roman" w:hAnsi="Arial" w:cs="Arial"/>
          <w:color w:val="000000" w:themeColor="text1"/>
          <w:sz w:val="22"/>
          <w:szCs w:val="22"/>
        </w:rPr>
        <w:t xml:space="preserve">The person named </w:t>
      </w:r>
      <w:hyperlink r:id="rId10">
        <w:r w:rsidR="0CF85BE2" w:rsidRPr="35CE7578">
          <w:rPr>
            <w:rStyle w:val="Hyperlink"/>
            <w:rFonts w:ascii="Arial" w:eastAsia="Times New Roman" w:hAnsi="Arial" w:cs="Arial"/>
            <w:sz w:val="22"/>
            <w:szCs w:val="22"/>
          </w:rPr>
          <w:t>here</w:t>
        </w:r>
      </w:hyperlink>
      <w:r w:rsidR="0CF85BE2" w:rsidRPr="35CE7578">
        <w:rPr>
          <w:rFonts w:ascii="Arial" w:eastAsia="Times New Roman" w:hAnsi="Arial" w:cs="Arial"/>
          <w:color w:val="000000" w:themeColor="text1"/>
          <w:sz w:val="22"/>
          <w:szCs w:val="22"/>
        </w:rPr>
        <w:t xml:space="preserve"> </w:t>
      </w:r>
      <w:r w:rsidRPr="35CE7578">
        <w:rPr>
          <w:rFonts w:ascii="Arial" w:eastAsia="Times New Roman" w:hAnsi="Arial" w:cs="Arial"/>
          <w:color w:val="000000" w:themeColor="text1"/>
          <w:sz w:val="22"/>
          <w:szCs w:val="22"/>
        </w:rPr>
        <w:t>has been designated to coord</w:t>
      </w:r>
      <w:r w:rsidR="008B187E" w:rsidRPr="35CE7578">
        <w:rPr>
          <w:rFonts w:ascii="Arial" w:eastAsia="Times New Roman" w:hAnsi="Arial" w:cs="Arial"/>
          <w:color w:val="000000" w:themeColor="text1"/>
          <w:sz w:val="22"/>
          <w:szCs w:val="22"/>
        </w:rPr>
        <w:t>inate compli</w:t>
      </w:r>
      <w:r w:rsidRPr="35CE7578">
        <w:rPr>
          <w:rFonts w:ascii="Arial" w:eastAsia="Times New Roman" w:hAnsi="Arial" w:cs="Arial"/>
          <w:color w:val="000000" w:themeColor="text1"/>
          <w:sz w:val="22"/>
          <w:szCs w:val="22"/>
        </w:rPr>
        <w:t>ance with the nondiscrimination requirements contained in HUD regulations implementing Section 504 (24 CFR, part 8 dated June 2, 1988):</w:t>
      </w:r>
    </w:p>
    <w:p w14:paraId="06845147" w14:textId="77777777" w:rsidR="001A7F03" w:rsidRDefault="001A7F03" w:rsidP="001A7F03">
      <w:pPr>
        <w:spacing w:after="100"/>
        <w:jc w:val="both"/>
        <w:rPr>
          <w:rFonts w:ascii="Arial" w:eastAsia="Times New Roman" w:hAnsi="Arial" w:cs="Arial"/>
          <w:color w:val="000000" w:themeColor="text1"/>
          <w:sz w:val="22"/>
          <w:szCs w:val="22"/>
        </w:rPr>
      </w:pPr>
    </w:p>
    <w:p w14:paraId="233805AC" w14:textId="5436C53F" w:rsidR="00222AC0" w:rsidRPr="00222AC0" w:rsidRDefault="00222AC0" w:rsidP="001A7F03">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The </w:t>
      </w:r>
      <w:r w:rsidR="001A7F03">
        <w:rPr>
          <w:rFonts w:ascii="Arial" w:eastAsia="Times New Roman" w:hAnsi="Arial" w:cs="Arial"/>
          <w:color w:val="000000" w:themeColor="text1"/>
          <w:sz w:val="22"/>
          <w:szCs w:val="22"/>
        </w:rPr>
        <w:t>BlueLine Property Management company</w:t>
      </w:r>
      <w:r w:rsidRPr="00222AC0">
        <w:rPr>
          <w:rFonts w:ascii="Arial" w:eastAsia="Times New Roman" w:hAnsi="Arial" w:cs="Arial"/>
          <w:color w:val="000000" w:themeColor="text1"/>
          <w:sz w:val="22"/>
          <w:szCs w:val="22"/>
        </w:rPr>
        <w:t xml:space="preserve"> will take steps to the maximum extent feasible to accommodate requests for effective communication with persons with disabilities. We will make alternate accommodations up to the point at which further accommodations would result in either a fundamental alteration in the nature of the project or create an undue financial and administrative burden. In accordance with Section 504 of the Rehabilitation Act of 1973 and the Fair Housing Act, the property will attempt to make such</w:t>
      </w:r>
      <w:r w:rsidR="003E298C">
        <w:rPr>
          <w:rFonts w:ascii="Arial" w:eastAsia="Times New Roman" w:hAnsi="Arial" w:cs="Arial"/>
          <w:color w:val="000000" w:themeColor="text1"/>
          <w:sz w:val="22"/>
          <w:szCs w:val="22"/>
        </w:rPr>
        <w:t xml:space="preserve"> </w:t>
      </w:r>
      <w:r w:rsidRPr="00222AC0">
        <w:rPr>
          <w:rFonts w:ascii="Arial" w:eastAsia="Times New Roman" w:hAnsi="Arial" w:cs="Arial"/>
          <w:color w:val="000000" w:themeColor="text1"/>
          <w:sz w:val="22"/>
          <w:szCs w:val="22"/>
        </w:rPr>
        <w:t xml:space="preserve">changes as will reasonably accommodate people with disabilities within the regulations governing the housing program. </w:t>
      </w:r>
      <w:r w:rsidR="001A7F03">
        <w:rPr>
          <w:rFonts w:ascii="Arial" w:eastAsia="Times New Roman" w:hAnsi="Arial" w:cs="Arial"/>
          <w:color w:val="000000" w:themeColor="text1"/>
          <w:sz w:val="22"/>
          <w:szCs w:val="22"/>
        </w:rPr>
        <w:t xml:space="preserve">BlueLine Property Management </w:t>
      </w:r>
      <w:r w:rsidRPr="00222AC0">
        <w:rPr>
          <w:rFonts w:ascii="Arial" w:eastAsia="Times New Roman" w:hAnsi="Arial" w:cs="Arial"/>
          <w:color w:val="000000" w:themeColor="text1"/>
          <w:sz w:val="22"/>
          <w:szCs w:val="22"/>
        </w:rPr>
        <w:t xml:space="preserve">will provide appropriate assistance when needed or when requested as a reasonable accommodation. </w:t>
      </w:r>
      <w:r w:rsidRPr="003E298C">
        <w:rPr>
          <w:rFonts w:ascii="Arial" w:eastAsia="Times New Roman" w:hAnsi="Arial" w:cs="Arial"/>
          <w:b/>
          <w:i/>
          <w:color w:val="000000" w:themeColor="text1"/>
          <w:sz w:val="22"/>
          <w:szCs w:val="22"/>
        </w:rPr>
        <w:t>For example:</w:t>
      </w:r>
      <w:r w:rsidRPr="00222AC0">
        <w:rPr>
          <w:rFonts w:ascii="Arial" w:eastAsia="Times New Roman" w:hAnsi="Arial" w:cs="Arial"/>
          <w:color w:val="000000" w:themeColor="text1"/>
          <w:sz w:val="22"/>
          <w:szCs w:val="22"/>
        </w:rPr>
        <w:t xml:space="preserve"> the </w:t>
      </w:r>
      <w:r w:rsidR="001A7F03">
        <w:rPr>
          <w:rFonts w:ascii="Arial" w:eastAsia="Times New Roman" w:hAnsi="Arial" w:cs="Arial"/>
          <w:color w:val="000000" w:themeColor="text1"/>
          <w:sz w:val="22"/>
          <w:szCs w:val="22"/>
        </w:rPr>
        <w:t>community</w:t>
      </w:r>
      <w:r w:rsidRPr="00222AC0">
        <w:rPr>
          <w:rFonts w:ascii="Arial" w:eastAsia="Times New Roman" w:hAnsi="Arial" w:cs="Arial"/>
          <w:color w:val="000000" w:themeColor="text1"/>
          <w:sz w:val="22"/>
          <w:szCs w:val="22"/>
        </w:rPr>
        <w:t xml:space="preserve"> may provide forms in an appropriate language, including large print or braille, provide interpreters or rea</w:t>
      </w:r>
      <w:r w:rsidR="001A7F03">
        <w:rPr>
          <w:rFonts w:ascii="Arial" w:eastAsia="Times New Roman" w:hAnsi="Arial" w:cs="Arial"/>
          <w:color w:val="000000" w:themeColor="text1"/>
          <w:sz w:val="22"/>
          <w:szCs w:val="22"/>
        </w:rPr>
        <w:t>ders</w:t>
      </w:r>
      <w:r w:rsidR="00221CF4">
        <w:rPr>
          <w:rFonts w:ascii="Arial" w:eastAsia="Times New Roman" w:hAnsi="Arial" w:cs="Arial"/>
          <w:color w:val="000000" w:themeColor="text1"/>
          <w:sz w:val="22"/>
          <w:szCs w:val="22"/>
        </w:rPr>
        <w:t>, or allow assistance</w:t>
      </w:r>
      <w:r w:rsidRPr="00222AC0">
        <w:rPr>
          <w:rFonts w:ascii="Arial" w:eastAsia="Times New Roman" w:hAnsi="Arial" w:cs="Arial"/>
          <w:color w:val="000000" w:themeColor="text1"/>
          <w:sz w:val="22"/>
          <w:szCs w:val="22"/>
        </w:rPr>
        <w:t xml:space="preserve"> from caseworkers, family members and other aides.</w:t>
      </w:r>
    </w:p>
    <w:p w14:paraId="62E0ACC5" w14:textId="77777777" w:rsidR="003E298C" w:rsidRDefault="003E298C" w:rsidP="00222AC0">
      <w:pPr>
        <w:spacing w:after="100"/>
        <w:rPr>
          <w:rFonts w:ascii="Arial" w:eastAsia="Times New Roman" w:hAnsi="Arial" w:cs="Arial"/>
          <w:b/>
          <w:color w:val="000000" w:themeColor="text1"/>
          <w:sz w:val="22"/>
          <w:szCs w:val="22"/>
          <w:u w:val="single"/>
        </w:rPr>
      </w:pPr>
    </w:p>
    <w:p w14:paraId="58D1C8E8" w14:textId="265D4304" w:rsidR="001A7F03"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lastRenderedPageBreak/>
        <w:t>Policies for Applying Violence Against Women Act (VAWA) Protections</w:t>
      </w:r>
      <w:r w:rsidRPr="00D663BB">
        <w:rPr>
          <w:rFonts w:ascii="Arial" w:eastAsia="Times New Roman" w:hAnsi="Arial" w:cs="Arial"/>
          <w:i/>
          <w:color w:val="000000" w:themeColor="text1"/>
          <w:sz w:val="22"/>
          <w:szCs w:val="22"/>
        </w:rPr>
        <w:t xml:space="preserve"> </w:t>
      </w:r>
    </w:p>
    <w:p w14:paraId="373E6DBA" w14:textId="0D57E80E" w:rsidR="00222AC0" w:rsidRPr="00222AC0"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The Violence Against Women Act Reauthorization of 2013 (VAWA) provides protections to women or men who are the victims of domestic violence, dating violence, sexual assault and/or stalking. The </w:t>
      </w:r>
      <w:r w:rsidR="003E298C">
        <w:rPr>
          <w:rFonts w:ascii="Arial" w:eastAsia="Times New Roman" w:hAnsi="Arial" w:cs="Arial"/>
          <w:color w:val="000000" w:themeColor="text1"/>
          <w:sz w:val="22"/>
          <w:szCs w:val="22"/>
        </w:rPr>
        <w:t>BlueLine Property Management Company</w:t>
      </w:r>
      <w:r w:rsidRPr="00222AC0">
        <w:rPr>
          <w:rFonts w:ascii="Arial" w:eastAsia="Times New Roman" w:hAnsi="Arial" w:cs="Arial"/>
          <w:color w:val="000000" w:themeColor="text1"/>
          <w:sz w:val="22"/>
          <w:szCs w:val="22"/>
        </w:rPr>
        <w:t xml:space="preserve"> understands that, regardless of whether state or local laws protect victims of domestic violence, dating violence, sexual assault or stalking, people who have been victims of violence have certain protections provided through the Violence Against Women Reauthorization Act of 2013 (VAWA 2013).</w:t>
      </w:r>
    </w:p>
    <w:p w14:paraId="71045507" w14:textId="77777777" w:rsidR="00222AC0" w:rsidRPr="00222AC0" w:rsidRDefault="00222AC0" w:rsidP="00222AC0">
      <w:pPr>
        <w:spacing w:after="100"/>
        <w:ind w:firstLine="14"/>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If any applicant wishes to exercise the protections provided in the VAWA 2013, he/she should contact the Community Manager immediately.</w:t>
      </w:r>
    </w:p>
    <w:p w14:paraId="4E3EF34A" w14:textId="533B05E3" w:rsidR="00222AC0" w:rsidRPr="00222AC0" w:rsidRDefault="00222AC0" w:rsidP="001A7F03">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The </w:t>
      </w:r>
      <w:r w:rsidR="001A7F03">
        <w:rPr>
          <w:rFonts w:ascii="Arial" w:eastAsia="Times New Roman" w:hAnsi="Arial" w:cs="Arial"/>
          <w:color w:val="000000" w:themeColor="text1"/>
          <w:sz w:val="22"/>
          <w:szCs w:val="22"/>
        </w:rPr>
        <w:t>BlueLine Property Management Company</w:t>
      </w:r>
      <w:r w:rsidRPr="00222AC0">
        <w:rPr>
          <w:rFonts w:ascii="Arial" w:eastAsia="Times New Roman" w:hAnsi="Arial" w:cs="Arial"/>
          <w:color w:val="000000" w:themeColor="text1"/>
          <w:sz w:val="22"/>
          <w:szCs w:val="22"/>
        </w:rPr>
        <w:t xml:space="preserve"> will not assume that any act is a result of abuse covered under the VAWA 2013. In order to receive the protections outlined in the VAWA 2013, the applicant/applicant must specify that he/she wishes to exercise these protections.</w:t>
      </w:r>
    </w:p>
    <w:p w14:paraId="60084090" w14:textId="05154A2B" w:rsidR="00222AC0" w:rsidRPr="00222AC0"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Please see the </w:t>
      </w:r>
      <w:r w:rsidR="003E298C">
        <w:rPr>
          <w:rFonts w:ascii="Arial" w:eastAsia="Times New Roman" w:hAnsi="Arial" w:cs="Arial"/>
          <w:color w:val="000000" w:themeColor="text1"/>
          <w:sz w:val="22"/>
          <w:szCs w:val="22"/>
        </w:rPr>
        <w:t>BlueLine</w:t>
      </w:r>
      <w:r w:rsidRPr="00222AC0">
        <w:rPr>
          <w:rFonts w:ascii="Arial" w:eastAsia="Times New Roman" w:hAnsi="Arial" w:cs="Arial"/>
          <w:color w:val="000000" w:themeColor="text1"/>
          <w:sz w:val="22"/>
          <w:szCs w:val="22"/>
        </w:rPr>
        <w:t xml:space="preserve"> VAWA Policy </w:t>
      </w:r>
      <w:r w:rsidR="00AF68DE">
        <w:rPr>
          <w:rFonts w:ascii="Arial" w:eastAsia="Times New Roman" w:hAnsi="Arial" w:cs="Arial"/>
          <w:color w:val="000000" w:themeColor="text1"/>
          <w:sz w:val="22"/>
          <w:szCs w:val="22"/>
        </w:rPr>
        <w:t>for specifications.</w:t>
      </w:r>
    </w:p>
    <w:p w14:paraId="05F70A25" w14:textId="77777777" w:rsidR="003E298C"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Program Eligibility Requirements</w:t>
      </w:r>
      <w:r w:rsidRPr="00D663BB">
        <w:rPr>
          <w:rFonts w:ascii="Arial" w:eastAsia="Times New Roman" w:hAnsi="Arial" w:cs="Arial"/>
          <w:i/>
          <w:color w:val="000000" w:themeColor="text1"/>
          <w:sz w:val="22"/>
          <w:szCs w:val="22"/>
        </w:rPr>
        <w:t xml:space="preserve"> </w:t>
      </w:r>
    </w:p>
    <w:p w14:paraId="37A1B69F" w14:textId="6C2DBB37" w:rsidR="00222AC0" w:rsidRPr="00222AC0"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Based on Federal regulations, </w:t>
      </w:r>
      <w:r w:rsidR="003E298C">
        <w:rPr>
          <w:rFonts w:ascii="Arial" w:eastAsia="Times New Roman" w:hAnsi="Arial" w:cs="Arial"/>
          <w:color w:val="000000" w:themeColor="text1"/>
          <w:sz w:val="22"/>
          <w:szCs w:val="22"/>
        </w:rPr>
        <w:t>BlueLine Property Management</w:t>
      </w:r>
      <w:r w:rsidRPr="00222AC0">
        <w:rPr>
          <w:rFonts w:ascii="Arial" w:eastAsia="Times New Roman" w:hAnsi="Arial" w:cs="Arial"/>
          <w:color w:val="000000" w:themeColor="text1"/>
          <w:sz w:val="22"/>
          <w:szCs w:val="22"/>
        </w:rPr>
        <w:t xml:space="preserve"> may admit only eligible applicants. In the selection of applicants for admission, eligibility criteria have been established in accordance with HUD</w:t>
      </w:r>
      <w:r w:rsidR="00AB6E9F">
        <w:rPr>
          <w:rFonts w:ascii="Arial" w:eastAsia="Times New Roman" w:hAnsi="Arial" w:cs="Arial"/>
          <w:color w:val="000000" w:themeColor="text1"/>
          <w:sz w:val="22"/>
          <w:szCs w:val="22"/>
        </w:rPr>
        <w:t>, LIHTC, and</w:t>
      </w:r>
      <w:r w:rsidRPr="00222AC0">
        <w:rPr>
          <w:rFonts w:ascii="Arial" w:eastAsia="Times New Roman" w:hAnsi="Arial" w:cs="Arial"/>
          <w:color w:val="000000" w:themeColor="text1"/>
          <w:sz w:val="22"/>
          <w:szCs w:val="22"/>
        </w:rPr>
        <w:t xml:space="preserve"> IRS guidelines. The following </w:t>
      </w:r>
      <w:r w:rsidR="003E298C" w:rsidRPr="00222AC0">
        <w:rPr>
          <w:rFonts w:ascii="Arial" w:eastAsia="Times New Roman" w:hAnsi="Arial" w:cs="Arial"/>
          <w:color w:val="000000" w:themeColor="text1"/>
          <w:sz w:val="22"/>
          <w:szCs w:val="22"/>
        </w:rPr>
        <w:t>eligibility</w:t>
      </w:r>
      <w:r w:rsidRPr="00222AC0">
        <w:rPr>
          <w:rFonts w:ascii="Arial" w:eastAsia="Times New Roman" w:hAnsi="Arial" w:cs="Arial"/>
          <w:color w:val="000000" w:themeColor="text1"/>
          <w:sz w:val="22"/>
          <w:szCs w:val="22"/>
        </w:rPr>
        <w:t xml:space="preserve"> standards will be applied in accordance with </w:t>
      </w:r>
      <w:r w:rsidR="00AB6E9F">
        <w:rPr>
          <w:rFonts w:ascii="Arial" w:eastAsia="Times New Roman" w:hAnsi="Arial" w:cs="Arial"/>
          <w:color w:val="000000" w:themeColor="text1"/>
          <w:sz w:val="22"/>
          <w:szCs w:val="22"/>
        </w:rPr>
        <w:t>these</w:t>
      </w:r>
      <w:r w:rsidRPr="00222AC0">
        <w:rPr>
          <w:rFonts w:ascii="Arial" w:eastAsia="Times New Roman" w:hAnsi="Arial" w:cs="Arial"/>
          <w:color w:val="000000" w:themeColor="text1"/>
          <w:sz w:val="22"/>
          <w:szCs w:val="22"/>
        </w:rPr>
        <w:t xml:space="preserve"> requirements:</w:t>
      </w:r>
    </w:p>
    <w:p w14:paraId="31ABD9E5" w14:textId="24FD608E" w:rsidR="003E298C" w:rsidRDefault="00222AC0" w:rsidP="71D425E7">
      <w:pPr>
        <w:spacing w:after="100"/>
        <w:ind w:left="720"/>
        <w:rPr>
          <w:rFonts w:ascii="Arial" w:eastAsia="Times New Roman" w:hAnsi="Arial" w:cs="Arial"/>
          <w:color w:val="000000" w:themeColor="text1"/>
          <w:sz w:val="22"/>
          <w:szCs w:val="22"/>
        </w:rPr>
      </w:pPr>
      <w:r w:rsidRPr="71D425E7">
        <w:rPr>
          <w:rFonts w:ascii="Arial" w:eastAsia="Times New Roman" w:hAnsi="Arial" w:cs="Arial"/>
          <w:color w:val="000000" w:themeColor="text1"/>
          <w:sz w:val="22"/>
          <w:szCs w:val="22"/>
        </w:rPr>
        <w:t>1. The household's annual income must not exceed program income limits at move-in</w:t>
      </w:r>
      <w:r w:rsidR="14877CCD" w:rsidRPr="71D425E7">
        <w:rPr>
          <w:rFonts w:ascii="Arial" w:eastAsia="Times New Roman" w:hAnsi="Arial" w:cs="Arial"/>
          <w:color w:val="000000" w:themeColor="text1"/>
          <w:sz w:val="22"/>
          <w:szCs w:val="22"/>
        </w:rPr>
        <w:t xml:space="preserve">, and must be at minimum 1.5 times the rent amount at the time of move-in. </w:t>
      </w:r>
    </w:p>
    <w:p w14:paraId="1E06C645" w14:textId="6D1F2B06" w:rsidR="003E298C" w:rsidRDefault="00AF68DE" w:rsidP="00AF68DE">
      <w:pPr>
        <w:spacing w:after="100"/>
        <w:ind w:left="720"/>
        <w:rPr>
          <w:rFonts w:ascii="Arial" w:eastAsia="Times New Roman" w:hAnsi="Arial" w:cs="Arial"/>
          <w:color w:val="000000" w:themeColor="text1"/>
          <w:sz w:val="22"/>
          <w:szCs w:val="22"/>
        </w:rPr>
      </w:pPr>
      <w:r w:rsidRPr="71D425E7">
        <w:rPr>
          <w:rFonts w:ascii="Arial" w:eastAsia="Times New Roman" w:hAnsi="Arial" w:cs="Arial"/>
          <w:color w:val="000000" w:themeColor="text1"/>
          <w:sz w:val="22"/>
          <w:szCs w:val="22"/>
        </w:rPr>
        <w:t xml:space="preserve">The income limits for this county are posted on: </w:t>
      </w:r>
      <w:hyperlink r:id="rId11">
        <w:r w:rsidRPr="71D425E7">
          <w:rPr>
            <w:rStyle w:val="Hyperlink"/>
            <w:rFonts w:ascii="Arial" w:eastAsia="Times New Roman" w:hAnsi="Arial" w:cs="Arial"/>
            <w:sz w:val="22"/>
            <w:szCs w:val="22"/>
          </w:rPr>
          <w:t>https://www.wyomingcda.com/wp-content/uploads/2020/06/HOME-Rent-Limits-July-1-2020.pdf</w:t>
        </w:r>
      </w:hyperlink>
      <w:r w:rsidRPr="71D425E7">
        <w:rPr>
          <w:rFonts w:ascii="Arial" w:eastAsia="Times New Roman" w:hAnsi="Arial" w:cs="Arial"/>
          <w:color w:val="000000" w:themeColor="text1"/>
          <w:sz w:val="22"/>
          <w:szCs w:val="22"/>
        </w:rPr>
        <w:t xml:space="preserve"> for HOME regulations and </w:t>
      </w:r>
      <w:hyperlink r:id="rId12">
        <w:r w:rsidRPr="71D425E7">
          <w:rPr>
            <w:rStyle w:val="Hyperlink"/>
            <w:rFonts w:ascii="Arial" w:eastAsia="Times New Roman" w:hAnsi="Arial" w:cs="Arial"/>
            <w:sz w:val="22"/>
            <w:szCs w:val="22"/>
          </w:rPr>
          <w:t>https://ric.novoco.com/tenant/rentincome/calculator/z4.jsp</w:t>
        </w:r>
      </w:hyperlink>
      <w:r w:rsidRPr="71D425E7">
        <w:rPr>
          <w:rFonts w:ascii="Arial" w:eastAsia="Times New Roman" w:hAnsi="Arial" w:cs="Arial"/>
          <w:color w:val="000000" w:themeColor="text1"/>
          <w:sz w:val="22"/>
          <w:szCs w:val="22"/>
        </w:rPr>
        <w:t xml:space="preserve"> at the 40% or 45% income limit. Limits are adjusted based on the amount of household members;</w:t>
      </w:r>
      <w:r w:rsidR="6B20D786" w:rsidRPr="71D425E7">
        <w:rPr>
          <w:rFonts w:ascii="Arial" w:eastAsia="Times New Roman" w:hAnsi="Arial" w:cs="Arial"/>
          <w:color w:val="000000" w:themeColor="text1"/>
          <w:sz w:val="22"/>
          <w:szCs w:val="22"/>
        </w:rPr>
        <w:t xml:space="preserve"> </w:t>
      </w:r>
    </w:p>
    <w:p w14:paraId="6609700B" w14:textId="56ABB501" w:rsidR="003E298C" w:rsidRDefault="00222AC0" w:rsidP="003E298C">
      <w:pPr>
        <w:spacing w:after="100"/>
        <w:ind w:left="72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2. The head of household, spouse, and co-head (regardless of age) and all adults in each household</w:t>
      </w:r>
      <w:r w:rsidR="003E298C">
        <w:rPr>
          <w:rFonts w:ascii="Arial" w:eastAsia="Times New Roman" w:hAnsi="Arial" w:cs="Arial"/>
          <w:color w:val="000000" w:themeColor="text1"/>
          <w:sz w:val="22"/>
          <w:szCs w:val="22"/>
        </w:rPr>
        <w:t xml:space="preserve"> </w:t>
      </w:r>
      <w:r w:rsidRPr="00222AC0">
        <w:rPr>
          <w:rFonts w:ascii="Arial" w:eastAsia="Times New Roman" w:hAnsi="Arial" w:cs="Arial"/>
          <w:color w:val="000000" w:themeColor="text1"/>
          <w:sz w:val="22"/>
          <w:szCs w:val="22"/>
        </w:rPr>
        <w:t xml:space="preserve">must </w:t>
      </w:r>
      <w:r w:rsidRPr="00AF68DE">
        <w:rPr>
          <w:rFonts w:ascii="Arial" w:eastAsia="Times New Roman" w:hAnsi="Arial" w:cs="Arial"/>
          <w:color w:val="000000" w:themeColor="text1"/>
          <w:sz w:val="22"/>
          <w:szCs w:val="22"/>
        </w:rPr>
        <w:t xml:space="preserve">sign an Authorization for Release of Information and the </w:t>
      </w:r>
      <w:r w:rsidR="003E298C" w:rsidRPr="00AF68DE">
        <w:rPr>
          <w:rFonts w:ascii="Arial" w:eastAsia="Times New Roman" w:hAnsi="Arial" w:cs="Arial"/>
          <w:color w:val="000000" w:themeColor="text1"/>
          <w:sz w:val="22"/>
          <w:szCs w:val="22"/>
        </w:rPr>
        <w:t>BlueLine Property Management Company</w:t>
      </w:r>
      <w:r w:rsidRPr="00AF68DE">
        <w:rPr>
          <w:rFonts w:ascii="Arial" w:eastAsia="Times New Roman" w:hAnsi="Arial" w:cs="Arial"/>
          <w:color w:val="000000" w:themeColor="text1"/>
          <w:sz w:val="22"/>
          <w:szCs w:val="22"/>
        </w:rPr>
        <w:t xml:space="preserve"> created</w:t>
      </w:r>
      <w:r w:rsidR="003E298C" w:rsidRPr="00AF68DE">
        <w:rPr>
          <w:rFonts w:ascii="Arial" w:eastAsia="Times New Roman" w:hAnsi="Arial" w:cs="Arial"/>
          <w:color w:val="000000" w:themeColor="text1"/>
          <w:sz w:val="22"/>
          <w:szCs w:val="22"/>
        </w:rPr>
        <w:t xml:space="preserve"> </w:t>
      </w:r>
      <w:r w:rsidRPr="00AF68DE">
        <w:rPr>
          <w:rFonts w:ascii="Arial" w:eastAsia="Times New Roman" w:hAnsi="Arial" w:cs="Arial"/>
          <w:color w:val="000000" w:themeColor="text1"/>
          <w:sz w:val="22"/>
          <w:szCs w:val="22"/>
        </w:rPr>
        <w:t>verification documents prior to move</w:t>
      </w:r>
      <w:r w:rsidR="003E298C" w:rsidRPr="00AF68DE">
        <w:rPr>
          <w:rFonts w:ascii="Arial" w:eastAsia="Times New Roman" w:hAnsi="Arial" w:cs="Arial"/>
          <w:color w:val="000000" w:themeColor="text1"/>
          <w:sz w:val="22"/>
          <w:szCs w:val="22"/>
        </w:rPr>
        <w:t>-in and annually thereafter</w:t>
      </w:r>
      <w:r w:rsidR="00AF68DE" w:rsidRPr="00AF68DE">
        <w:rPr>
          <w:rFonts w:ascii="Arial" w:eastAsia="Times New Roman" w:hAnsi="Arial" w:cs="Arial"/>
          <w:color w:val="000000" w:themeColor="text1"/>
          <w:sz w:val="22"/>
          <w:szCs w:val="22"/>
        </w:rPr>
        <w:t>.</w:t>
      </w:r>
      <w:r w:rsidR="00AF68DE" w:rsidRPr="00AF68DE">
        <w:rPr>
          <w:rFonts w:ascii="Arial" w:hAnsi="Arial" w:cs="Arial"/>
          <w:sz w:val="22"/>
          <w:szCs w:val="22"/>
        </w:rPr>
        <w:t xml:space="preserve"> Family members who refuse to sign the Release of Information documents and/or refuse management the ability to verify program eligibility for the family will be denied housing</w:t>
      </w:r>
    </w:p>
    <w:p w14:paraId="53287FD6" w14:textId="77777777" w:rsidR="003E298C" w:rsidRDefault="003E298C" w:rsidP="003E298C">
      <w:pPr>
        <w:spacing w:after="100"/>
        <w:ind w:left="72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3. </w:t>
      </w:r>
      <w:r w:rsidR="00222AC0" w:rsidRPr="003E298C">
        <w:rPr>
          <w:rFonts w:ascii="Arial" w:eastAsia="Times New Roman" w:hAnsi="Arial" w:cs="Arial"/>
          <w:color w:val="000000" w:themeColor="text1"/>
          <w:sz w:val="22"/>
          <w:szCs w:val="22"/>
        </w:rPr>
        <w:t xml:space="preserve">The unit for which the household is applying must be the household's only residence; </w:t>
      </w:r>
    </w:p>
    <w:p w14:paraId="414E3BC6" w14:textId="7157DF90" w:rsidR="003E298C" w:rsidRDefault="00222AC0" w:rsidP="003E298C">
      <w:pPr>
        <w:spacing w:after="100"/>
        <w:ind w:left="720"/>
        <w:rPr>
          <w:rFonts w:ascii="Arial" w:eastAsia="Times New Roman" w:hAnsi="Arial" w:cs="Arial"/>
          <w:color w:val="000000" w:themeColor="text1"/>
          <w:sz w:val="22"/>
          <w:szCs w:val="22"/>
        </w:rPr>
      </w:pPr>
      <w:r w:rsidRPr="003E298C">
        <w:rPr>
          <w:rFonts w:ascii="Arial" w:eastAsia="Times New Roman" w:hAnsi="Arial" w:cs="Arial"/>
          <w:color w:val="000000" w:themeColor="text1"/>
          <w:sz w:val="22"/>
          <w:szCs w:val="22"/>
        </w:rPr>
        <w:t>4. An applicant must agree to pay the rent required by the program under which the applicant will</w:t>
      </w:r>
      <w:r w:rsidR="003E298C">
        <w:rPr>
          <w:rFonts w:ascii="Arial" w:eastAsia="Times New Roman" w:hAnsi="Arial" w:cs="Arial"/>
          <w:color w:val="000000" w:themeColor="text1"/>
          <w:sz w:val="22"/>
          <w:szCs w:val="22"/>
        </w:rPr>
        <w:t xml:space="preserve"> </w:t>
      </w:r>
      <w:r w:rsidRPr="00222AC0">
        <w:rPr>
          <w:rFonts w:ascii="Arial" w:eastAsia="Times New Roman" w:hAnsi="Arial" w:cs="Arial"/>
          <w:color w:val="000000" w:themeColor="text1"/>
          <w:sz w:val="22"/>
          <w:szCs w:val="22"/>
        </w:rPr>
        <w:t>r</w:t>
      </w:r>
      <w:r w:rsidR="003E298C">
        <w:rPr>
          <w:rFonts w:ascii="Arial" w:eastAsia="Times New Roman" w:hAnsi="Arial" w:cs="Arial"/>
          <w:color w:val="000000" w:themeColor="text1"/>
          <w:sz w:val="22"/>
          <w:szCs w:val="22"/>
        </w:rPr>
        <w:t>eceive assistance.</w:t>
      </w:r>
      <w:r w:rsidRPr="00222AC0">
        <w:rPr>
          <w:rFonts w:ascii="Arial" w:eastAsia="Times New Roman" w:hAnsi="Arial" w:cs="Arial"/>
          <w:color w:val="000000" w:themeColor="text1"/>
          <w:sz w:val="22"/>
          <w:szCs w:val="22"/>
        </w:rPr>
        <w:t xml:space="preserve"> </w:t>
      </w:r>
    </w:p>
    <w:p w14:paraId="05C43E3D" w14:textId="37AB4A4D" w:rsidR="00222AC0" w:rsidRPr="00222AC0" w:rsidRDefault="00222AC0" w:rsidP="003E298C">
      <w:pPr>
        <w:spacing w:after="100"/>
        <w:ind w:left="72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5. All information reported by the household is subject to verification:</w:t>
      </w:r>
    </w:p>
    <w:p w14:paraId="192421F0" w14:textId="77777777" w:rsidR="003E298C" w:rsidRDefault="003E298C" w:rsidP="00222AC0">
      <w:pPr>
        <w:spacing w:after="100"/>
        <w:rPr>
          <w:rFonts w:ascii="Arial" w:eastAsia="Times New Roman" w:hAnsi="Arial" w:cs="Arial"/>
          <w:color w:val="000000" w:themeColor="text1"/>
          <w:sz w:val="22"/>
          <w:szCs w:val="22"/>
          <w:u w:val="single"/>
        </w:rPr>
      </w:pPr>
    </w:p>
    <w:p w14:paraId="68AB442F" w14:textId="5D342CD4" w:rsidR="003E298C" w:rsidRPr="00D663BB" w:rsidRDefault="006C77E9" w:rsidP="00222AC0">
      <w:pPr>
        <w:spacing w:after="100"/>
        <w:rPr>
          <w:rFonts w:ascii="Arial" w:eastAsia="Times New Roman" w:hAnsi="Arial" w:cs="Arial"/>
          <w:i/>
          <w:color w:val="000000" w:themeColor="text1"/>
          <w:sz w:val="22"/>
          <w:szCs w:val="22"/>
        </w:rPr>
      </w:pPr>
      <w:r>
        <w:rPr>
          <w:rFonts w:ascii="Arial" w:eastAsia="Times New Roman" w:hAnsi="Arial" w:cs="Arial"/>
          <w:b/>
          <w:i/>
          <w:color w:val="000000" w:themeColor="text1"/>
          <w:sz w:val="22"/>
          <w:szCs w:val="22"/>
          <w:u w:val="single"/>
        </w:rPr>
        <w:t>Application Procedure</w:t>
      </w:r>
    </w:p>
    <w:p w14:paraId="49CFFEAC" w14:textId="4FA72CA6" w:rsidR="00222AC0" w:rsidRPr="00222AC0" w:rsidRDefault="003E298C" w:rsidP="00222AC0">
      <w:p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BlueLine Property Management</w:t>
      </w:r>
      <w:r w:rsidR="00222AC0" w:rsidRPr="00222AC0">
        <w:rPr>
          <w:rFonts w:ascii="Arial" w:eastAsia="Times New Roman" w:hAnsi="Arial" w:cs="Arial"/>
          <w:color w:val="000000" w:themeColor="text1"/>
          <w:sz w:val="22"/>
          <w:szCs w:val="22"/>
        </w:rPr>
        <w:t xml:space="preserve"> will accept applications from all interested parties who wish to be admitted to the property during normal business hours. Any prospective resident may, upon</w:t>
      </w:r>
      <w:r>
        <w:rPr>
          <w:rFonts w:ascii="Arial" w:eastAsia="Times New Roman" w:hAnsi="Arial" w:cs="Arial"/>
          <w:color w:val="000000" w:themeColor="text1"/>
          <w:sz w:val="22"/>
          <w:szCs w:val="22"/>
        </w:rPr>
        <w:t xml:space="preserve"> request, complete and submit, an</w:t>
      </w:r>
      <w:r w:rsidR="00222AC0" w:rsidRPr="00222AC0">
        <w:rPr>
          <w:rFonts w:ascii="Arial" w:eastAsia="Times New Roman" w:hAnsi="Arial" w:cs="Arial"/>
          <w:color w:val="000000" w:themeColor="text1"/>
          <w:sz w:val="22"/>
          <w:szCs w:val="22"/>
        </w:rPr>
        <w:t xml:space="preserve"> application. Basic program and eligibility information may be given to prospective applicants; however, only submitted applications can determine the applicant's eligibility Management will not pre-screen prospective applicants by giving an opinion regarding the application outcome. All applicants approved for housing must qualify under the eligibly factors in the above sections.</w:t>
      </w:r>
    </w:p>
    <w:p w14:paraId="5DF1FAA7" w14:textId="77777777" w:rsidR="003E298C"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Processing Applications</w:t>
      </w:r>
      <w:r w:rsidRPr="00D663BB">
        <w:rPr>
          <w:rFonts w:ascii="Arial" w:eastAsia="Times New Roman" w:hAnsi="Arial" w:cs="Arial"/>
          <w:i/>
          <w:color w:val="000000" w:themeColor="text1"/>
          <w:sz w:val="22"/>
          <w:szCs w:val="22"/>
        </w:rPr>
        <w:t xml:space="preserve"> </w:t>
      </w:r>
    </w:p>
    <w:p w14:paraId="4B69E161" w14:textId="0774DDE0" w:rsidR="00222AC0" w:rsidRPr="00222AC0"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Applications will be processed on a first come, first serve basis. Applications with not be accepted or processed without </w:t>
      </w:r>
      <w:r w:rsidR="00AF68DE">
        <w:rPr>
          <w:rFonts w:ascii="Arial" w:eastAsia="Times New Roman" w:hAnsi="Arial" w:cs="Arial"/>
          <w:color w:val="000000" w:themeColor="text1"/>
          <w:sz w:val="22"/>
          <w:szCs w:val="22"/>
        </w:rPr>
        <w:t>the fully completed application and all adult household signatures.</w:t>
      </w:r>
    </w:p>
    <w:p w14:paraId="37F8185C" w14:textId="77777777" w:rsidR="00222AC0" w:rsidRPr="00D663BB" w:rsidRDefault="00222AC0" w:rsidP="00222AC0">
      <w:pPr>
        <w:spacing w:after="100"/>
        <w:rPr>
          <w:rFonts w:ascii="Arial" w:eastAsia="Times New Roman" w:hAnsi="Arial" w:cs="Arial"/>
          <w:b/>
          <w:i/>
          <w:color w:val="000000" w:themeColor="text1"/>
          <w:sz w:val="22"/>
          <w:szCs w:val="22"/>
          <w:u w:val="single"/>
        </w:rPr>
      </w:pPr>
      <w:r w:rsidRPr="00D663BB">
        <w:rPr>
          <w:rFonts w:ascii="Arial" w:eastAsia="Times New Roman" w:hAnsi="Arial" w:cs="Arial"/>
          <w:b/>
          <w:i/>
          <w:color w:val="000000" w:themeColor="text1"/>
          <w:sz w:val="22"/>
          <w:szCs w:val="22"/>
          <w:u w:val="single"/>
        </w:rPr>
        <w:lastRenderedPageBreak/>
        <w:t>When and How to Apply</w:t>
      </w:r>
    </w:p>
    <w:p w14:paraId="43CB5E42" w14:textId="0DD70559" w:rsidR="00222AC0" w:rsidRPr="00222AC0" w:rsidRDefault="00222AC0" w:rsidP="00222AC0">
      <w:pPr>
        <w:spacing w:after="100"/>
        <w:ind w:firstLine="14"/>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Applications are accepted during normal business hours. Applicants may apply in person, ma</w:t>
      </w:r>
      <w:r w:rsidR="006C77E9">
        <w:rPr>
          <w:rFonts w:ascii="Arial" w:eastAsia="Times New Roman" w:hAnsi="Arial" w:cs="Arial"/>
          <w:color w:val="000000" w:themeColor="text1"/>
          <w:sz w:val="22"/>
          <w:szCs w:val="22"/>
        </w:rPr>
        <w:t>i</w:t>
      </w:r>
      <w:r w:rsidRPr="00222AC0">
        <w:rPr>
          <w:rFonts w:ascii="Arial" w:eastAsia="Times New Roman" w:hAnsi="Arial" w:cs="Arial"/>
          <w:color w:val="000000" w:themeColor="text1"/>
          <w:sz w:val="22"/>
          <w:szCs w:val="22"/>
        </w:rPr>
        <w:t xml:space="preserve">l, </w:t>
      </w:r>
      <w:r w:rsidR="006C77E9">
        <w:rPr>
          <w:rFonts w:ascii="Arial" w:eastAsia="Times New Roman" w:hAnsi="Arial" w:cs="Arial"/>
          <w:color w:val="000000" w:themeColor="text1"/>
          <w:sz w:val="22"/>
          <w:szCs w:val="22"/>
        </w:rPr>
        <w:t>fax,</w:t>
      </w:r>
      <w:r w:rsidRPr="00222AC0">
        <w:rPr>
          <w:rFonts w:ascii="Arial" w:eastAsia="Times New Roman" w:hAnsi="Arial" w:cs="Arial"/>
          <w:color w:val="000000" w:themeColor="text1"/>
          <w:sz w:val="22"/>
          <w:szCs w:val="22"/>
        </w:rPr>
        <w:t xml:space="preserve"> or email. All applications must be complete with no blanks and must be signed. No applications will be processed until the applicant has given their written consent, which is satisfied by signing all forms of the application packet in the designated places. Due to different pr</w:t>
      </w:r>
      <w:r w:rsidR="003E298C">
        <w:rPr>
          <w:rFonts w:ascii="Arial" w:eastAsia="Times New Roman" w:hAnsi="Arial" w:cs="Arial"/>
          <w:color w:val="000000" w:themeColor="text1"/>
          <w:sz w:val="22"/>
          <w:szCs w:val="22"/>
        </w:rPr>
        <w:t>oject specific requirements,</w:t>
      </w:r>
      <w:r w:rsidRPr="00222AC0">
        <w:rPr>
          <w:rFonts w:ascii="Arial" w:eastAsia="Times New Roman" w:hAnsi="Arial" w:cs="Arial"/>
          <w:color w:val="000000" w:themeColor="text1"/>
          <w:sz w:val="22"/>
          <w:szCs w:val="22"/>
        </w:rPr>
        <w:t xml:space="preserve"> </w:t>
      </w:r>
      <w:r w:rsidR="003E298C">
        <w:rPr>
          <w:rFonts w:ascii="Arial" w:eastAsia="Times New Roman" w:hAnsi="Arial" w:cs="Arial"/>
          <w:color w:val="000000" w:themeColor="text1"/>
          <w:sz w:val="22"/>
          <w:szCs w:val="22"/>
        </w:rPr>
        <w:t xml:space="preserve">BlueLine Property Management </w:t>
      </w:r>
      <w:r w:rsidRPr="00222AC0">
        <w:rPr>
          <w:rFonts w:ascii="Arial" w:eastAsia="Times New Roman" w:hAnsi="Arial" w:cs="Arial"/>
          <w:color w:val="000000" w:themeColor="text1"/>
          <w:sz w:val="22"/>
          <w:szCs w:val="22"/>
        </w:rPr>
        <w:t>does not maintain a centralized application process. In order to apply for residency, applicants must provide a complete application to each specific property they wish to apply for.</w:t>
      </w:r>
    </w:p>
    <w:p w14:paraId="67AB3233" w14:textId="77777777" w:rsidR="00183B56" w:rsidRPr="00D663BB" w:rsidRDefault="00222AC0" w:rsidP="00222AC0">
      <w:pPr>
        <w:spacing w:after="100"/>
        <w:ind w:firstLine="1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Procedure for Accepting Applications</w:t>
      </w:r>
      <w:r w:rsidRPr="00D663BB">
        <w:rPr>
          <w:rFonts w:ascii="Arial" w:eastAsia="Times New Roman" w:hAnsi="Arial" w:cs="Arial"/>
          <w:i/>
          <w:color w:val="000000" w:themeColor="text1"/>
          <w:sz w:val="22"/>
          <w:szCs w:val="22"/>
        </w:rPr>
        <w:t xml:space="preserve"> </w:t>
      </w:r>
    </w:p>
    <w:p w14:paraId="6BEBE5D6" w14:textId="18A406F2" w:rsidR="00222AC0" w:rsidRPr="00222AC0" w:rsidRDefault="00222AC0" w:rsidP="00222AC0">
      <w:pPr>
        <w:spacing w:after="100"/>
        <w:ind w:firstLine="1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Persons desiring housing must complete the application packet in its entirety. All individuals 18 years of age and older, regardless of relationship to one another, who will be living in the unit must be identified and are required to complete and sign an application packet. All household members 18 years of age and older must sign all required verification forms in order to determine program eligibility.</w:t>
      </w:r>
    </w:p>
    <w:p w14:paraId="2F089203" w14:textId="77777777" w:rsidR="00075AB4"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Denied Applications</w:t>
      </w:r>
      <w:r w:rsidRPr="00D663BB">
        <w:rPr>
          <w:rFonts w:ascii="Arial" w:eastAsia="Times New Roman" w:hAnsi="Arial" w:cs="Arial"/>
          <w:i/>
          <w:color w:val="000000" w:themeColor="text1"/>
          <w:sz w:val="22"/>
          <w:szCs w:val="22"/>
        </w:rPr>
        <w:t xml:space="preserve"> </w:t>
      </w:r>
    </w:p>
    <w:p w14:paraId="53DD371B" w14:textId="4F0C35CC" w:rsidR="00222AC0" w:rsidRPr="00075AB4" w:rsidRDefault="00457B72" w:rsidP="00222AC0">
      <w:p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 xml:space="preserve">Once applicant screening has been complete and all materials have been verified and evaluated, any application not meeting the above criteria will be denied. </w:t>
      </w:r>
      <w:r w:rsidR="00222AC0" w:rsidRPr="00075AB4">
        <w:rPr>
          <w:rFonts w:ascii="Arial" w:eastAsia="Times New Roman" w:hAnsi="Arial" w:cs="Arial"/>
          <w:color w:val="000000" w:themeColor="text1"/>
          <w:sz w:val="22"/>
          <w:szCs w:val="22"/>
        </w:rPr>
        <w:t xml:space="preserve">Applicants that have been denied will be notified in writing. All denials will list the reason(s) for the denial and advise the applicant that they have fourteen (14) </w:t>
      </w:r>
      <w:r>
        <w:rPr>
          <w:rFonts w:ascii="Arial" w:eastAsia="Times New Roman" w:hAnsi="Arial" w:cs="Arial"/>
          <w:color w:val="000000" w:themeColor="text1"/>
          <w:sz w:val="22"/>
          <w:szCs w:val="22"/>
        </w:rPr>
        <w:t xml:space="preserve">business </w:t>
      </w:r>
      <w:r w:rsidR="00222AC0" w:rsidRPr="00075AB4">
        <w:rPr>
          <w:rFonts w:ascii="Arial" w:eastAsia="Times New Roman" w:hAnsi="Arial" w:cs="Arial"/>
          <w:color w:val="000000" w:themeColor="text1"/>
          <w:sz w:val="22"/>
          <w:szCs w:val="22"/>
        </w:rPr>
        <w:t>days to contact Management for an appointment to discuss the denial.</w:t>
      </w:r>
    </w:p>
    <w:p w14:paraId="18AC304F" w14:textId="77777777" w:rsidR="00075AB4"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Appeals</w:t>
      </w:r>
      <w:r w:rsidRPr="00D663BB">
        <w:rPr>
          <w:rFonts w:ascii="Arial" w:eastAsia="Times New Roman" w:hAnsi="Arial" w:cs="Arial"/>
          <w:i/>
          <w:color w:val="000000" w:themeColor="text1"/>
          <w:sz w:val="22"/>
          <w:szCs w:val="22"/>
        </w:rPr>
        <w:t xml:space="preserve"> </w:t>
      </w:r>
    </w:p>
    <w:p w14:paraId="6897E418" w14:textId="1471D053" w:rsidR="00222AC0" w:rsidRPr="00222AC0"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All denied applicants have the right to appeal the decision. The request for appeal must be in writing and made with fourteen (14) </w:t>
      </w:r>
      <w:r w:rsidR="00457B72">
        <w:rPr>
          <w:rFonts w:ascii="Arial" w:eastAsia="Times New Roman" w:hAnsi="Arial" w:cs="Arial"/>
          <w:color w:val="000000" w:themeColor="text1"/>
          <w:sz w:val="22"/>
          <w:szCs w:val="22"/>
        </w:rPr>
        <w:t xml:space="preserve">business </w:t>
      </w:r>
      <w:r w:rsidRPr="00222AC0">
        <w:rPr>
          <w:rFonts w:ascii="Arial" w:eastAsia="Times New Roman" w:hAnsi="Arial" w:cs="Arial"/>
          <w:color w:val="000000" w:themeColor="text1"/>
          <w:sz w:val="22"/>
          <w:szCs w:val="22"/>
        </w:rPr>
        <w:t>days from the date of the denial letter</w:t>
      </w:r>
      <w:r w:rsidR="006C77E9">
        <w:rPr>
          <w:rFonts w:ascii="Arial" w:eastAsia="Times New Roman" w:hAnsi="Arial" w:cs="Arial"/>
          <w:color w:val="000000" w:themeColor="text1"/>
          <w:sz w:val="22"/>
          <w:szCs w:val="22"/>
        </w:rPr>
        <w:t>. The contact information for requesting an appeal will be outlined in the rejection letter</w:t>
      </w:r>
      <w:r w:rsidRPr="00222AC0">
        <w:rPr>
          <w:rFonts w:ascii="Arial" w:eastAsia="Times New Roman" w:hAnsi="Arial" w:cs="Arial"/>
          <w:color w:val="000000" w:themeColor="text1"/>
          <w:sz w:val="22"/>
          <w:szCs w:val="22"/>
        </w:rPr>
        <w:t>. In accordance with HUD regulations, persons with disabilities have the right to request reasonable accommodations to participate in the informal hearing process. Any meeting with the applicant to discuss the applicant's denial will be conducted by a property staff member who was not involved in the initial decision to deny admission or assistance. Any decision to overturn the initial denial is e</w:t>
      </w:r>
      <w:r w:rsidR="00457B72">
        <w:rPr>
          <w:rFonts w:ascii="Arial" w:eastAsia="Times New Roman" w:hAnsi="Arial" w:cs="Arial"/>
          <w:color w:val="000000" w:themeColor="text1"/>
          <w:sz w:val="22"/>
          <w:szCs w:val="22"/>
        </w:rPr>
        <w:t>ntirely rendered at the hearing.</w:t>
      </w:r>
    </w:p>
    <w:p w14:paraId="26164C08" w14:textId="1FBEE820" w:rsidR="00222AC0" w:rsidRPr="00222AC0" w:rsidRDefault="00222AC0" w:rsidP="00222AC0">
      <w:pPr>
        <w:spacing w:after="100"/>
        <w:ind w:firstLine="24"/>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A meeting wi</w:t>
      </w:r>
      <w:r w:rsidR="00075AB4">
        <w:rPr>
          <w:rFonts w:ascii="Arial" w:eastAsia="Times New Roman" w:hAnsi="Arial" w:cs="Arial"/>
          <w:color w:val="000000" w:themeColor="text1"/>
          <w:sz w:val="22"/>
          <w:szCs w:val="22"/>
        </w:rPr>
        <w:t>th Management regarding the deni</w:t>
      </w:r>
      <w:r w:rsidRPr="00222AC0">
        <w:rPr>
          <w:rFonts w:ascii="Arial" w:eastAsia="Times New Roman" w:hAnsi="Arial" w:cs="Arial"/>
          <w:color w:val="000000" w:themeColor="text1"/>
          <w:sz w:val="22"/>
          <w:szCs w:val="22"/>
        </w:rPr>
        <w:t>al does not imply that the denial will be overturned. A copy of the denial letter will be placed with the application and the application will remain at the proper</w:t>
      </w:r>
      <w:r w:rsidR="00075AB4">
        <w:rPr>
          <w:rFonts w:ascii="Arial" w:eastAsia="Times New Roman" w:hAnsi="Arial" w:cs="Arial"/>
          <w:color w:val="000000" w:themeColor="text1"/>
          <w:sz w:val="22"/>
          <w:szCs w:val="22"/>
        </w:rPr>
        <w:t>ty for three year</w:t>
      </w:r>
      <w:r w:rsidR="00457B72">
        <w:rPr>
          <w:rFonts w:ascii="Arial" w:eastAsia="Times New Roman" w:hAnsi="Arial" w:cs="Arial"/>
          <w:color w:val="000000" w:themeColor="text1"/>
          <w:sz w:val="22"/>
          <w:szCs w:val="22"/>
        </w:rPr>
        <w:t>s</w:t>
      </w:r>
      <w:r w:rsidR="00075AB4">
        <w:rPr>
          <w:rFonts w:ascii="Arial" w:eastAsia="Times New Roman" w:hAnsi="Arial" w:cs="Arial"/>
          <w:color w:val="000000" w:themeColor="text1"/>
          <w:sz w:val="22"/>
          <w:szCs w:val="22"/>
        </w:rPr>
        <w:t>.</w:t>
      </w:r>
      <w:r w:rsidRPr="00222AC0">
        <w:rPr>
          <w:rFonts w:ascii="Arial" w:eastAsia="Times New Roman" w:hAnsi="Arial" w:cs="Arial"/>
          <w:color w:val="000000" w:themeColor="text1"/>
          <w:sz w:val="22"/>
          <w:szCs w:val="22"/>
        </w:rPr>
        <w:t xml:space="preserve"> Denied applications will not be returned to applicants.</w:t>
      </w:r>
    </w:p>
    <w:p w14:paraId="03268EF0" w14:textId="77777777" w:rsidR="00075AB4"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Applicant Screening Criteria</w:t>
      </w:r>
      <w:r w:rsidRPr="00D663BB">
        <w:rPr>
          <w:rFonts w:ascii="Arial" w:eastAsia="Times New Roman" w:hAnsi="Arial" w:cs="Arial"/>
          <w:i/>
          <w:color w:val="000000" w:themeColor="text1"/>
          <w:sz w:val="22"/>
          <w:szCs w:val="22"/>
        </w:rPr>
        <w:t xml:space="preserve"> </w:t>
      </w:r>
    </w:p>
    <w:p w14:paraId="65275F8F" w14:textId="7174DC1D" w:rsidR="00222AC0" w:rsidRPr="00222AC0" w:rsidRDefault="00075AB4" w:rsidP="00075AB4">
      <w:p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BlueLine Property Management</w:t>
      </w:r>
      <w:r w:rsidR="00222AC0" w:rsidRPr="00222AC0">
        <w:rPr>
          <w:rFonts w:ascii="Arial" w:eastAsia="Times New Roman" w:hAnsi="Arial" w:cs="Arial"/>
          <w:color w:val="000000" w:themeColor="text1"/>
          <w:sz w:val="22"/>
          <w:szCs w:val="22"/>
        </w:rPr>
        <w:t xml:space="preserve"> is committed to selecting qualified residents in a non-discriminatory manner. All application Information will be verified consistently and in the same manner to avoid giving favorable or unfavorable treatment to any particular applicant. All applicants who reside at th</w:t>
      </w:r>
      <w:r>
        <w:rPr>
          <w:rFonts w:ascii="Arial" w:eastAsia="Times New Roman" w:hAnsi="Arial" w:cs="Arial"/>
          <w:color w:val="000000" w:themeColor="text1"/>
          <w:sz w:val="22"/>
          <w:szCs w:val="22"/>
        </w:rPr>
        <w:t>e Property, including live-in ai</w:t>
      </w:r>
      <w:r w:rsidR="00222AC0" w:rsidRPr="00222AC0">
        <w:rPr>
          <w:rFonts w:ascii="Arial" w:eastAsia="Times New Roman" w:hAnsi="Arial" w:cs="Arial"/>
          <w:color w:val="000000" w:themeColor="text1"/>
          <w:sz w:val="22"/>
          <w:szCs w:val="22"/>
        </w:rPr>
        <w:t>des, persons to be added to household, both before and after Initial occupancy</w:t>
      </w:r>
      <w:r w:rsidR="006C77E9">
        <w:rPr>
          <w:rFonts w:ascii="Arial" w:eastAsia="Times New Roman" w:hAnsi="Arial" w:cs="Arial"/>
          <w:color w:val="000000" w:themeColor="text1"/>
          <w:sz w:val="22"/>
          <w:szCs w:val="22"/>
        </w:rPr>
        <w:t xml:space="preserve"> </w:t>
      </w:r>
      <w:r w:rsidR="00222AC0" w:rsidRPr="00222AC0">
        <w:rPr>
          <w:rFonts w:ascii="Arial" w:eastAsia="Times New Roman" w:hAnsi="Arial" w:cs="Arial"/>
          <w:color w:val="000000" w:themeColor="text1"/>
          <w:sz w:val="22"/>
          <w:szCs w:val="22"/>
        </w:rPr>
        <w:t>must consent to</w:t>
      </w:r>
      <w:r w:rsidR="0091479D">
        <w:rPr>
          <w:rFonts w:ascii="Arial" w:eastAsia="Times New Roman" w:hAnsi="Arial" w:cs="Arial"/>
          <w:color w:val="000000" w:themeColor="text1"/>
          <w:sz w:val="22"/>
          <w:szCs w:val="22"/>
        </w:rPr>
        <w:t xml:space="preserve"> management's screening process.</w:t>
      </w:r>
    </w:p>
    <w:p w14:paraId="7072399A" w14:textId="77777777" w:rsidR="00075AB4" w:rsidRPr="00D663BB" w:rsidRDefault="00075AB4" w:rsidP="00222AC0">
      <w:pPr>
        <w:spacing w:after="100"/>
        <w:rPr>
          <w:rFonts w:ascii="Arial" w:eastAsia="Times New Roman" w:hAnsi="Arial" w:cs="Arial"/>
          <w:i/>
          <w:color w:val="000000" w:themeColor="text1"/>
          <w:sz w:val="22"/>
          <w:szCs w:val="22"/>
        </w:rPr>
      </w:pPr>
    </w:p>
    <w:p w14:paraId="060ABB3C" w14:textId="77777777" w:rsidR="00075AB4" w:rsidRPr="00D663BB" w:rsidRDefault="00222AC0" w:rsidP="00075AB4">
      <w:pPr>
        <w:spacing w:after="100"/>
        <w:rPr>
          <w:rFonts w:ascii="Arial" w:eastAsia="Times New Roman" w:hAnsi="Arial" w:cs="Arial"/>
          <w:b/>
          <w:i/>
          <w:color w:val="000000" w:themeColor="text1"/>
          <w:sz w:val="22"/>
          <w:szCs w:val="22"/>
          <w:u w:val="single"/>
        </w:rPr>
      </w:pPr>
      <w:r w:rsidRPr="00D663BB">
        <w:rPr>
          <w:rFonts w:ascii="Arial" w:eastAsia="Times New Roman" w:hAnsi="Arial" w:cs="Arial"/>
          <w:b/>
          <w:i/>
          <w:color w:val="000000" w:themeColor="text1"/>
          <w:sz w:val="22"/>
          <w:szCs w:val="22"/>
          <w:u w:val="single"/>
        </w:rPr>
        <w:t>Methods of applicant screening will include:</w:t>
      </w:r>
    </w:p>
    <w:p w14:paraId="58CD283D" w14:textId="77777777" w:rsidR="00075AB4" w:rsidRPr="00075AB4" w:rsidRDefault="00075AB4" w:rsidP="00075AB4">
      <w:pPr>
        <w:pStyle w:val="ListParagraph"/>
        <w:numPr>
          <w:ilvl w:val="0"/>
          <w:numId w:val="4"/>
        </w:numPr>
        <w:spacing w:after="100"/>
        <w:rPr>
          <w:rFonts w:ascii="Arial" w:eastAsia="Times New Roman" w:hAnsi="Arial" w:cs="Arial"/>
          <w:b/>
          <w:color w:val="000000" w:themeColor="text1"/>
          <w:sz w:val="22"/>
          <w:szCs w:val="22"/>
          <w:u w:val="single"/>
        </w:rPr>
      </w:pPr>
      <w:r>
        <w:rPr>
          <w:rFonts w:ascii="Arial" w:eastAsia="Times New Roman" w:hAnsi="Arial" w:cs="Arial"/>
          <w:color w:val="000000" w:themeColor="text1"/>
          <w:sz w:val="22"/>
          <w:szCs w:val="22"/>
        </w:rPr>
        <w:t xml:space="preserve">Criminal background check; </w:t>
      </w:r>
    </w:p>
    <w:p w14:paraId="0A7E52CD" w14:textId="7660BDFE" w:rsidR="00075AB4" w:rsidRPr="00075AB4" w:rsidRDefault="00222AC0" w:rsidP="00075AB4">
      <w:pPr>
        <w:pStyle w:val="ListParagraph"/>
        <w:numPr>
          <w:ilvl w:val="0"/>
          <w:numId w:val="4"/>
        </w:numPr>
        <w:spacing w:after="100"/>
        <w:rPr>
          <w:rFonts w:ascii="Arial" w:eastAsia="Times New Roman" w:hAnsi="Arial" w:cs="Arial"/>
          <w:b/>
          <w:color w:val="000000" w:themeColor="text1"/>
          <w:sz w:val="22"/>
          <w:szCs w:val="22"/>
          <w:u w:val="single"/>
        </w:rPr>
      </w:pPr>
      <w:r w:rsidRPr="00075AB4">
        <w:rPr>
          <w:rFonts w:ascii="Arial" w:eastAsia="Times New Roman" w:hAnsi="Arial" w:cs="Arial"/>
          <w:color w:val="000000" w:themeColor="text1"/>
          <w:sz w:val="22"/>
          <w:szCs w:val="22"/>
        </w:rPr>
        <w:t>S</w:t>
      </w:r>
      <w:r w:rsidR="00075AB4">
        <w:rPr>
          <w:rFonts w:ascii="Arial" w:eastAsia="Times New Roman" w:hAnsi="Arial" w:cs="Arial"/>
          <w:color w:val="000000" w:themeColor="text1"/>
          <w:sz w:val="22"/>
          <w:szCs w:val="22"/>
        </w:rPr>
        <w:t xml:space="preserve">ex offender registry search; </w:t>
      </w:r>
    </w:p>
    <w:p w14:paraId="781BEB09" w14:textId="7865BE1E" w:rsidR="00075AB4" w:rsidRPr="00075AB4" w:rsidRDefault="00075AB4" w:rsidP="00075AB4">
      <w:pPr>
        <w:pStyle w:val="ListParagraph"/>
        <w:numPr>
          <w:ilvl w:val="0"/>
          <w:numId w:val="4"/>
        </w:numPr>
        <w:spacing w:after="100"/>
        <w:rPr>
          <w:rFonts w:ascii="Arial" w:eastAsia="Times New Roman" w:hAnsi="Arial" w:cs="Arial"/>
          <w:b/>
          <w:color w:val="000000" w:themeColor="text1"/>
          <w:sz w:val="22"/>
          <w:szCs w:val="22"/>
          <w:u w:val="single"/>
        </w:rPr>
      </w:pPr>
      <w:r>
        <w:rPr>
          <w:rFonts w:ascii="Arial" w:eastAsia="Times New Roman" w:hAnsi="Arial" w:cs="Arial"/>
          <w:color w:val="000000" w:themeColor="text1"/>
          <w:sz w:val="22"/>
          <w:szCs w:val="22"/>
        </w:rPr>
        <w:t xml:space="preserve">Credit check; </w:t>
      </w:r>
    </w:p>
    <w:p w14:paraId="387A82FA" w14:textId="77777777" w:rsidR="00075AB4" w:rsidRPr="00075AB4" w:rsidRDefault="00222AC0" w:rsidP="00075AB4">
      <w:pPr>
        <w:pStyle w:val="ListParagraph"/>
        <w:numPr>
          <w:ilvl w:val="0"/>
          <w:numId w:val="4"/>
        </w:numPr>
        <w:spacing w:after="100"/>
        <w:rPr>
          <w:rFonts w:ascii="Arial" w:eastAsia="Times New Roman" w:hAnsi="Arial" w:cs="Arial"/>
          <w:b/>
          <w:color w:val="000000" w:themeColor="text1"/>
          <w:sz w:val="22"/>
          <w:szCs w:val="22"/>
          <w:u w:val="single"/>
        </w:rPr>
      </w:pPr>
      <w:r w:rsidRPr="00075AB4">
        <w:rPr>
          <w:rFonts w:ascii="Arial" w:eastAsia="Times New Roman" w:hAnsi="Arial" w:cs="Arial"/>
          <w:color w:val="000000" w:themeColor="text1"/>
          <w:sz w:val="22"/>
          <w:szCs w:val="22"/>
        </w:rPr>
        <w:t>Verification of past rental histo</w:t>
      </w:r>
      <w:r w:rsidR="00075AB4">
        <w:rPr>
          <w:rFonts w:ascii="Arial" w:eastAsia="Times New Roman" w:hAnsi="Arial" w:cs="Arial"/>
          <w:color w:val="000000" w:themeColor="text1"/>
          <w:sz w:val="22"/>
          <w:szCs w:val="22"/>
        </w:rPr>
        <w:t xml:space="preserve">ry (for the past five years); </w:t>
      </w:r>
      <w:r w:rsidRPr="00075AB4">
        <w:rPr>
          <w:rFonts w:ascii="Arial" w:eastAsia="Times New Roman" w:hAnsi="Arial" w:cs="Arial"/>
          <w:color w:val="000000" w:themeColor="text1"/>
          <w:sz w:val="22"/>
          <w:szCs w:val="22"/>
        </w:rPr>
        <w:t xml:space="preserve"> </w:t>
      </w:r>
    </w:p>
    <w:p w14:paraId="78CA5399" w14:textId="24D144FB" w:rsidR="00222AC0" w:rsidRPr="00075AB4" w:rsidRDefault="00222AC0" w:rsidP="00075AB4">
      <w:pPr>
        <w:pStyle w:val="ListParagraph"/>
        <w:numPr>
          <w:ilvl w:val="0"/>
          <w:numId w:val="4"/>
        </w:numPr>
        <w:spacing w:after="100"/>
        <w:rPr>
          <w:rFonts w:ascii="Arial" w:eastAsia="Times New Roman" w:hAnsi="Arial" w:cs="Arial"/>
          <w:b/>
          <w:color w:val="000000" w:themeColor="text1"/>
          <w:sz w:val="22"/>
          <w:szCs w:val="22"/>
          <w:u w:val="single"/>
        </w:rPr>
      </w:pPr>
      <w:r w:rsidRPr="00075AB4">
        <w:rPr>
          <w:rFonts w:ascii="Arial" w:eastAsia="Times New Roman" w:hAnsi="Arial" w:cs="Arial"/>
          <w:color w:val="000000" w:themeColor="text1"/>
          <w:sz w:val="22"/>
          <w:szCs w:val="22"/>
        </w:rPr>
        <w:t xml:space="preserve">Additional </w:t>
      </w:r>
      <w:r w:rsidR="00075AB4">
        <w:rPr>
          <w:rFonts w:ascii="Arial" w:eastAsia="Times New Roman" w:hAnsi="Arial" w:cs="Arial"/>
          <w:color w:val="000000" w:themeColor="text1"/>
          <w:sz w:val="22"/>
          <w:szCs w:val="22"/>
        </w:rPr>
        <w:t>BlueLine Property Management</w:t>
      </w:r>
      <w:r w:rsidRPr="00075AB4">
        <w:rPr>
          <w:rFonts w:ascii="Arial" w:eastAsia="Times New Roman" w:hAnsi="Arial" w:cs="Arial"/>
          <w:color w:val="000000" w:themeColor="text1"/>
          <w:sz w:val="22"/>
          <w:szCs w:val="22"/>
        </w:rPr>
        <w:t xml:space="preserve"> adopted criteria established below.</w:t>
      </w:r>
    </w:p>
    <w:p w14:paraId="1A001FDA" w14:textId="77777777" w:rsidR="00075AB4" w:rsidRDefault="00075AB4" w:rsidP="00075AB4">
      <w:pPr>
        <w:spacing w:after="100"/>
        <w:jc w:val="both"/>
        <w:rPr>
          <w:rFonts w:ascii="Arial" w:eastAsia="Times New Roman" w:hAnsi="Arial" w:cs="Arial"/>
          <w:color w:val="000000" w:themeColor="text1"/>
          <w:sz w:val="22"/>
          <w:szCs w:val="22"/>
        </w:rPr>
      </w:pPr>
    </w:p>
    <w:p w14:paraId="04F5FF35" w14:textId="594E35E6" w:rsidR="00222AC0" w:rsidRPr="00222AC0" w:rsidRDefault="00222AC0" w:rsidP="00075AB4">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lastRenderedPageBreak/>
        <w:t xml:space="preserve">It is our policy to investigate the background of all persons interested in living in our community for the last </w:t>
      </w:r>
      <w:r w:rsidR="00581AF4">
        <w:rPr>
          <w:rFonts w:ascii="Arial" w:eastAsia="Times New Roman" w:hAnsi="Arial" w:cs="Arial"/>
          <w:color w:val="000000" w:themeColor="text1"/>
          <w:sz w:val="22"/>
          <w:szCs w:val="22"/>
        </w:rPr>
        <w:t>ten (10</w:t>
      </w:r>
      <w:r w:rsidRPr="00222AC0">
        <w:rPr>
          <w:rFonts w:ascii="Arial" w:eastAsia="Times New Roman" w:hAnsi="Arial" w:cs="Arial"/>
          <w:color w:val="000000" w:themeColor="text1"/>
          <w:sz w:val="22"/>
          <w:szCs w:val="22"/>
        </w:rPr>
        <w:t xml:space="preserve">) years. </w:t>
      </w:r>
      <w:r w:rsidR="00075AB4">
        <w:rPr>
          <w:rFonts w:ascii="Arial" w:eastAsia="Times New Roman" w:hAnsi="Arial" w:cs="Arial"/>
          <w:color w:val="000000" w:themeColor="text1"/>
          <w:sz w:val="22"/>
          <w:szCs w:val="22"/>
        </w:rPr>
        <w:t>BlueLine Property Management</w:t>
      </w:r>
      <w:r w:rsidRPr="00222AC0">
        <w:rPr>
          <w:rFonts w:ascii="Arial" w:eastAsia="Times New Roman" w:hAnsi="Arial" w:cs="Arial"/>
          <w:color w:val="000000" w:themeColor="text1"/>
          <w:sz w:val="22"/>
          <w:szCs w:val="22"/>
        </w:rPr>
        <w:t xml:space="preserve"> will deny admission to the project for cause if the applicant or a member of the applicant's household has any of the following </w:t>
      </w:r>
      <w:r w:rsidR="00581AF4" w:rsidRPr="00222AC0">
        <w:rPr>
          <w:rFonts w:ascii="Arial" w:eastAsia="Times New Roman" w:hAnsi="Arial" w:cs="Arial"/>
          <w:color w:val="000000" w:themeColor="text1"/>
          <w:sz w:val="22"/>
          <w:szCs w:val="22"/>
        </w:rPr>
        <w:t>report</w:t>
      </w:r>
      <w:r w:rsidR="00581AF4">
        <w:rPr>
          <w:rFonts w:ascii="Arial" w:eastAsia="Times New Roman" w:hAnsi="Arial" w:cs="Arial"/>
          <w:color w:val="000000" w:themeColor="text1"/>
          <w:sz w:val="22"/>
          <w:szCs w:val="22"/>
        </w:rPr>
        <w:t>ed criminal related reason that have occurred within the timeline identified below prior to the application date regardless of the applicants age at the time the offense was committed. All records are evaluated from the date of the disposition.</w:t>
      </w:r>
    </w:p>
    <w:p w14:paraId="3DF05135" w14:textId="4574945C" w:rsidR="00075AB4" w:rsidRDefault="00075AB4" w:rsidP="00222AC0">
      <w:pPr>
        <w:spacing w:after="100"/>
        <w:jc w:val="both"/>
        <w:rPr>
          <w:rFonts w:ascii="Arial" w:eastAsia="Times New Roman" w:hAnsi="Arial" w:cs="Arial"/>
          <w:color w:val="000000" w:themeColor="text1"/>
          <w:sz w:val="22"/>
          <w:szCs w:val="22"/>
        </w:rPr>
      </w:pPr>
    </w:p>
    <w:tbl>
      <w:tblPr>
        <w:tblStyle w:val="GridTable1Light-Accent1"/>
        <w:tblW w:w="9466" w:type="dxa"/>
        <w:tblLook w:val="04A0" w:firstRow="1" w:lastRow="0" w:firstColumn="1" w:lastColumn="0" w:noHBand="0" w:noVBand="1"/>
      </w:tblPr>
      <w:tblGrid>
        <w:gridCol w:w="3154"/>
        <w:gridCol w:w="3156"/>
        <w:gridCol w:w="3156"/>
      </w:tblGrid>
      <w:tr w:rsidR="00581AF4" w14:paraId="1155F55A" w14:textId="77777777" w:rsidTr="006C77E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154" w:type="dxa"/>
            <w:shd w:val="clear" w:color="auto" w:fill="BDD6EE" w:themeFill="accent5" w:themeFillTint="66"/>
          </w:tcPr>
          <w:p w14:paraId="761E9CF2" w14:textId="213CEEDB" w:rsidR="00581AF4" w:rsidRDefault="00581AF4" w:rsidP="00581AF4">
            <w:pPr>
              <w:spacing w:after="100"/>
              <w:jc w:val="center"/>
              <w:rPr>
                <w:rFonts w:ascii="Arial" w:eastAsia="Times New Roman" w:hAnsi="Arial" w:cs="Arial"/>
                <w:color w:val="000000" w:themeColor="text1"/>
                <w:sz w:val="22"/>
                <w:szCs w:val="22"/>
              </w:rPr>
            </w:pPr>
            <w:r w:rsidRPr="00093E0D">
              <w:rPr>
                <w:sz w:val="18"/>
                <w:szCs w:val="18"/>
              </w:rPr>
              <w:t>Offense</w:t>
            </w:r>
          </w:p>
        </w:tc>
        <w:tc>
          <w:tcPr>
            <w:tcW w:w="3156" w:type="dxa"/>
            <w:shd w:val="clear" w:color="auto" w:fill="BDD6EE" w:themeFill="accent5" w:themeFillTint="66"/>
          </w:tcPr>
          <w:p w14:paraId="0F77E328" w14:textId="39A41B1B" w:rsidR="00581AF4" w:rsidRDefault="00581AF4" w:rsidP="00581AF4">
            <w:pPr>
              <w:spacing w:after="10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093E0D">
              <w:rPr>
                <w:sz w:val="18"/>
                <w:szCs w:val="18"/>
              </w:rPr>
              <w:t>Felony</w:t>
            </w:r>
          </w:p>
        </w:tc>
        <w:tc>
          <w:tcPr>
            <w:tcW w:w="3156" w:type="dxa"/>
            <w:shd w:val="clear" w:color="auto" w:fill="BDD6EE" w:themeFill="accent5" w:themeFillTint="66"/>
          </w:tcPr>
          <w:p w14:paraId="05523719" w14:textId="67B0A296" w:rsidR="00581AF4" w:rsidRDefault="00581AF4" w:rsidP="00581AF4">
            <w:pPr>
              <w:spacing w:after="10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sidRPr="00093E0D">
              <w:rPr>
                <w:sz w:val="18"/>
                <w:szCs w:val="18"/>
              </w:rPr>
              <w:t>Misdemeanor</w:t>
            </w:r>
          </w:p>
        </w:tc>
      </w:tr>
      <w:tr w:rsidR="00581AF4" w14:paraId="45338563"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49D0FCE3" w14:textId="7E5A5524" w:rsidR="00581AF4" w:rsidRDefault="00581AF4" w:rsidP="00581AF4">
            <w:pPr>
              <w:spacing w:after="100"/>
              <w:jc w:val="both"/>
              <w:rPr>
                <w:rFonts w:ascii="Arial" w:eastAsia="Times New Roman" w:hAnsi="Arial" w:cs="Arial"/>
                <w:color w:val="000000" w:themeColor="text1"/>
                <w:sz w:val="22"/>
                <w:szCs w:val="22"/>
              </w:rPr>
            </w:pPr>
            <w:r>
              <w:rPr>
                <w:sz w:val="17"/>
                <w:szCs w:val="17"/>
              </w:rPr>
              <w:t>Arson</w:t>
            </w:r>
          </w:p>
        </w:tc>
        <w:tc>
          <w:tcPr>
            <w:tcW w:w="3156" w:type="dxa"/>
          </w:tcPr>
          <w:p w14:paraId="71827EC2" w14:textId="6A81418F"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10 Years</w:t>
            </w:r>
          </w:p>
        </w:tc>
        <w:tc>
          <w:tcPr>
            <w:tcW w:w="3156" w:type="dxa"/>
          </w:tcPr>
          <w:p w14:paraId="3645C0B4" w14:textId="7BBCF1F9"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7 Years</w:t>
            </w:r>
          </w:p>
        </w:tc>
      </w:tr>
      <w:tr w:rsidR="00581AF4" w14:paraId="218A6376" w14:textId="77777777" w:rsidTr="006C77E9">
        <w:trPr>
          <w:trHeight w:val="316"/>
        </w:trPr>
        <w:tc>
          <w:tcPr>
            <w:cnfStyle w:val="001000000000" w:firstRow="0" w:lastRow="0" w:firstColumn="1" w:lastColumn="0" w:oddVBand="0" w:evenVBand="0" w:oddHBand="0" w:evenHBand="0" w:firstRowFirstColumn="0" w:firstRowLastColumn="0" w:lastRowFirstColumn="0" w:lastRowLastColumn="0"/>
            <w:tcW w:w="3154" w:type="dxa"/>
          </w:tcPr>
          <w:p w14:paraId="3B74A65A" w14:textId="2E87CE4C" w:rsidR="00581AF4" w:rsidRDefault="00581AF4" w:rsidP="00581AF4">
            <w:pPr>
              <w:spacing w:after="100"/>
              <w:jc w:val="both"/>
              <w:rPr>
                <w:rFonts w:ascii="Arial" w:eastAsia="Times New Roman" w:hAnsi="Arial" w:cs="Arial"/>
                <w:color w:val="000000" w:themeColor="text1"/>
                <w:sz w:val="22"/>
                <w:szCs w:val="22"/>
              </w:rPr>
            </w:pPr>
            <w:r>
              <w:rPr>
                <w:sz w:val="17"/>
                <w:szCs w:val="17"/>
              </w:rPr>
              <w:t xml:space="preserve">Assault and </w:t>
            </w:r>
            <w:r w:rsidR="004B39F8">
              <w:rPr>
                <w:sz w:val="17"/>
                <w:szCs w:val="17"/>
              </w:rPr>
              <w:t>Battery</w:t>
            </w:r>
            <w:r>
              <w:rPr>
                <w:sz w:val="17"/>
                <w:szCs w:val="17"/>
              </w:rPr>
              <w:t xml:space="preserve"> I </w:t>
            </w:r>
          </w:p>
        </w:tc>
        <w:tc>
          <w:tcPr>
            <w:tcW w:w="3156" w:type="dxa"/>
          </w:tcPr>
          <w:p w14:paraId="051E9002" w14:textId="672C1E61"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7 Years</w:t>
            </w:r>
          </w:p>
        </w:tc>
        <w:tc>
          <w:tcPr>
            <w:tcW w:w="3156" w:type="dxa"/>
          </w:tcPr>
          <w:p w14:paraId="008750E1" w14:textId="229666FA"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3 Years</w:t>
            </w:r>
          </w:p>
        </w:tc>
      </w:tr>
      <w:tr w:rsidR="00581AF4" w14:paraId="266848EC"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618EA2B8" w14:textId="7EF94255" w:rsidR="00581AF4" w:rsidRDefault="00581AF4" w:rsidP="00581AF4">
            <w:pPr>
              <w:spacing w:after="100"/>
              <w:jc w:val="both"/>
              <w:rPr>
                <w:rFonts w:ascii="Arial" w:eastAsia="Times New Roman" w:hAnsi="Arial" w:cs="Arial"/>
                <w:color w:val="000000" w:themeColor="text1"/>
                <w:sz w:val="22"/>
                <w:szCs w:val="22"/>
              </w:rPr>
            </w:pPr>
            <w:r>
              <w:rPr>
                <w:sz w:val="17"/>
                <w:szCs w:val="17"/>
              </w:rPr>
              <w:t>Assault and Battery II</w:t>
            </w:r>
          </w:p>
        </w:tc>
        <w:tc>
          <w:tcPr>
            <w:tcW w:w="3156" w:type="dxa"/>
          </w:tcPr>
          <w:p w14:paraId="380549E8" w14:textId="3B72BBF4"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10 Years</w:t>
            </w:r>
          </w:p>
        </w:tc>
        <w:tc>
          <w:tcPr>
            <w:tcW w:w="3156" w:type="dxa"/>
          </w:tcPr>
          <w:p w14:paraId="3DF113AF" w14:textId="3BA149E5"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5 Years</w:t>
            </w:r>
          </w:p>
        </w:tc>
      </w:tr>
      <w:tr w:rsidR="00581AF4" w14:paraId="1AC04C2A"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118ECDBD" w14:textId="359CB042" w:rsidR="00581AF4" w:rsidRDefault="00581AF4" w:rsidP="00581AF4">
            <w:pPr>
              <w:spacing w:after="100"/>
              <w:jc w:val="both"/>
              <w:rPr>
                <w:rFonts w:ascii="Arial" w:eastAsia="Times New Roman" w:hAnsi="Arial" w:cs="Arial"/>
                <w:color w:val="000000" w:themeColor="text1"/>
                <w:sz w:val="22"/>
                <w:szCs w:val="22"/>
              </w:rPr>
            </w:pPr>
            <w:r>
              <w:rPr>
                <w:sz w:val="17"/>
                <w:szCs w:val="17"/>
              </w:rPr>
              <w:t>Bad Checks</w:t>
            </w:r>
          </w:p>
        </w:tc>
        <w:tc>
          <w:tcPr>
            <w:tcW w:w="3156" w:type="dxa"/>
          </w:tcPr>
          <w:p w14:paraId="2E779970" w14:textId="57229430"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5 Years</w:t>
            </w:r>
          </w:p>
        </w:tc>
        <w:tc>
          <w:tcPr>
            <w:tcW w:w="3156" w:type="dxa"/>
          </w:tcPr>
          <w:p w14:paraId="3D4625FE" w14:textId="649BE8D3"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2 Years</w:t>
            </w:r>
          </w:p>
        </w:tc>
      </w:tr>
      <w:tr w:rsidR="00581AF4" w14:paraId="62E37B6E"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0D510675" w14:textId="4C3FDC5D" w:rsidR="00581AF4" w:rsidRDefault="00581AF4" w:rsidP="00581AF4">
            <w:pPr>
              <w:spacing w:after="100"/>
              <w:jc w:val="both"/>
              <w:rPr>
                <w:rFonts w:ascii="Arial" w:eastAsia="Times New Roman" w:hAnsi="Arial" w:cs="Arial"/>
                <w:color w:val="000000" w:themeColor="text1"/>
                <w:sz w:val="22"/>
                <w:szCs w:val="22"/>
              </w:rPr>
            </w:pPr>
            <w:r>
              <w:rPr>
                <w:sz w:val="17"/>
                <w:szCs w:val="17"/>
              </w:rPr>
              <w:t>Burglary I or II</w:t>
            </w:r>
          </w:p>
        </w:tc>
        <w:tc>
          <w:tcPr>
            <w:tcW w:w="3156" w:type="dxa"/>
          </w:tcPr>
          <w:p w14:paraId="787179C9" w14:textId="48F5C356"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10 Years</w:t>
            </w:r>
          </w:p>
        </w:tc>
        <w:tc>
          <w:tcPr>
            <w:tcW w:w="3156" w:type="dxa"/>
          </w:tcPr>
          <w:p w14:paraId="345A1892" w14:textId="17539522"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5 Years</w:t>
            </w:r>
          </w:p>
        </w:tc>
      </w:tr>
      <w:tr w:rsidR="00581AF4" w14:paraId="7E126EB3"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20FA6029" w14:textId="7C8CF97D" w:rsidR="00581AF4" w:rsidRDefault="00581AF4" w:rsidP="00581AF4">
            <w:pPr>
              <w:spacing w:after="100"/>
              <w:jc w:val="both"/>
              <w:rPr>
                <w:rFonts w:ascii="Arial" w:eastAsia="Times New Roman" w:hAnsi="Arial" w:cs="Arial"/>
                <w:color w:val="000000" w:themeColor="text1"/>
                <w:sz w:val="22"/>
                <w:szCs w:val="22"/>
              </w:rPr>
            </w:pPr>
            <w:r>
              <w:rPr>
                <w:sz w:val="17"/>
                <w:szCs w:val="17"/>
              </w:rPr>
              <w:t>Crimes Against Animals</w:t>
            </w:r>
          </w:p>
        </w:tc>
        <w:tc>
          <w:tcPr>
            <w:tcW w:w="3156" w:type="dxa"/>
          </w:tcPr>
          <w:p w14:paraId="4047BE5D" w14:textId="474C1CD5"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3 Years</w:t>
            </w:r>
          </w:p>
        </w:tc>
        <w:tc>
          <w:tcPr>
            <w:tcW w:w="3156" w:type="dxa"/>
          </w:tcPr>
          <w:p w14:paraId="1B5EDBD7" w14:textId="4DFAEAEC"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1 Year</w:t>
            </w:r>
          </w:p>
        </w:tc>
      </w:tr>
      <w:tr w:rsidR="00581AF4" w14:paraId="11DF77BD"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11C41DAE" w14:textId="2E134DE1" w:rsidR="00581AF4" w:rsidRDefault="00581AF4" w:rsidP="00581AF4">
            <w:pPr>
              <w:spacing w:after="100"/>
              <w:jc w:val="both"/>
              <w:rPr>
                <w:rFonts w:ascii="Arial" w:eastAsia="Times New Roman" w:hAnsi="Arial" w:cs="Arial"/>
                <w:color w:val="000000" w:themeColor="text1"/>
                <w:sz w:val="22"/>
                <w:szCs w:val="22"/>
              </w:rPr>
            </w:pPr>
            <w:r>
              <w:rPr>
                <w:sz w:val="17"/>
                <w:szCs w:val="17"/>
              </w:rPr>
              <w:t>Crimes Against Children</w:t>
            </w:r>
          </w:p>
        </w:tc>
        <w:tc>
          <w:tcPr>
            <w:tcW w:w="3156" w:type="dxa"/>
          </w:tcPr>
          <w:p w14:paraId="2BB35AC7" w14:textId="359F8B07"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7 Years</w:t>
            </w:r>
          </w:p>
        </w:tc>
        <w:tc>
          <w:tcPr>
            <w:tcW w:w="3156" w:type="dxa"/>
          </w:tcPr>
          <w:p w14:paraId="1AAE5179" w14:textId="44A560A9"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3 Years</w:t>
            </w:r>
          </w:p>
        </w:tc>
      </w:tr>
      <w:tr w:rsidR="00581AF4" w14:paraId="358762AC" w14:textId="77777777" w:rsidTr="006C77E9">
        <w:trPr>
          <w:trHeight w:val="316"/>
        </w:trPr>
        <w:tc>
          <w:tcPr>
            <w:cnfStyle w:val="001000000000" w:firstRow="0" w:lastRow="0" w:firstColumn="1" w:lastColumn="0" w:oddVBand="0" w:evenVBand="0" w:oddHBand="0" w:evenHBand="0" w:firstRowFirstColumn="0" w:firstRowLastColumn="0" w:lastRowFirstColumn="0" w:lastRowLastColumn="0"/>
            <w:tcW w:w="3154" w:type="dxa"/>
          </w:tcPr>
          <w:p w14:paraId="1D1DA80D" w14:textId="177A1A6C" w:rsidR="00581AF4" w:rsidRDefault="00581AF4" w:rsidP="00581AF4">
            <w:pPr>
              <w:spacing w:after="100"/>
              <w:jc w:val="both"/>
              <w:rPr>
                <w:rFonts w:ascii="Arial" w:eastAsia="Times New Roman" w:hAnsi="Arial" w:cs="Arial"/>
                <w:color w:val="000000" w:themeColor="text1"/>
                <w:sz w:val="22"/>
                <w:szCs w:val="22"/>
              </w:rPr>
            </w:pPr>
            <w:r>
              <w:rPr>
                <w:sz w:val="17"/>
                <w:szCs w:val="17"/>
              </w:rPr>
              <w:t>Destruction of Property</w:t>
            </w:r>
          </w:p>
        </w:tc>
        <w:tc>
          <w:tcPr>
            <w:tcW w:w="3156" w:type="dxa"/>
          </w:tcPr>
          <w:p w14:paraId="15C4B000" w14:textId="425471B5"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10 Years</w:t>
            </w:r>
          </w:p>
        </w:tc>
        <w:tc>
          <w:tcPr>
            <w:tcW w:w="3156" w:type="dxa"/>
          </w:tcPr>
          <w:p w14:paraId="35A0A919" w14:textId="3C9B09BE"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5 Years</w:t>
            </w:r>
          </w:p>
        </w:tc>
      </w:tr>
      <w:tr w:rsidR="00581AF4" w14:paraId="5B63CC57"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324CFF77" w14:textId="22D18176" w:rsidR="00581AF4" w:rsidRDefault="00581AF4" w:rsidP="00581AF4">
            <w:pPr>
              <w:spacing w:after="100"/>
              <w:jc w:val="both"/>
              <w:rPr>
                <w:rFonts w:ascii="Arial" w:eastAsia="Times New Roman" w:hAnsi="Arial" w:cs="Arial"/>
                <w:color w:val="000000" w:themeColor="text1"/>
                <w:sz w:val="22"/>
                <w:szCs w:val="22"/>
              </w:rPr>
            </w:pPr>
            <w:r>
              <w:rPr>
                <w:sz w:val="17"/>
                <w:szCs w:val="17"/>
              </w:rPr>
              <w:t>Disturbance of Peace</w:t>
            </w:r>
          </w:p>
        </w:tc>
        <w:tc>
          <w:tcPr>
            <w:tcW w:w="3156" w:type="dxa"/>
          </w:tcPr>
          <w:p w14:paraId="4EF13C31" w14:textId="5A6051A0"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3 Years</w:t>
            </w:r>
          </w:p>
        </w:tc>
        <w:tc>
          <w:tcPr>
            <w:tcW w:w="3156" w:type="dxa"/>
          </w:tcPr>
          <w:p w14:paraId="179EF3FA" w14:textId="73486989" w:rsidR="00581AF4" w:rsidRDefault="006C77E9"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NA</w:t>
            </w:r>
          </w:p>
        </w:tc>
      </w:tr>
      <w:tr w:rsidR="00581AF4" w14:paraId="541474C0"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22CC6ABF" w14:textId="6FEF2E49" w:rsidR="00581AF4" w:rsidRDefault="00581AF4" w:rsidP="00581AF4">
            <w:pPr>
              <w:spacing w:after="100"/>
              <w:jc w:val="both"/>
              <w:rPr>
                <w:rFonts w:ascii="Arial" w:eastAsia="Times New Roman" w:hAnsi="Arial" w:cs="Arial"/>
                <w:color w:val="000000" w:themeColor="text1"/>
                <w:sz w:val="22"/>
                <w:szCs w:val="22"/>
              </w:rPr>
            </w:pPr>
            <w:r>
              <w:rPr>
                <w:sz w:val="17"/>
                <w:szCs w:val="17"/>
              </w:rPr>
              <w:t>Domestic Crimes</w:t>
            </w:r>
          </w:p>
        </w:tc>
        <w:tc>
          <w:tcPr>
            <w:tcW w:w="3156" w:type="dxa"/>
          </w:tcPr>
          <w:p w14:paraId="1727E5A6" w14:textId="45CFA9CB"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7 Years</w:t>
            </w:r>
          </w:p>
        </w:tc>
        <w:tc>
          <w:tcPr>
            <w:tcW w:w="3156" w:type="dxa"/>
          </w:tcPr>
          <w:p w14:paraId="70A1D6FC" w14:textId="4AB1B394"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 xml:space="preserve">3 Years </w:t>
            </w:r>
          </w:p>
        </w:tc>
      </w:tr>
      <w:tr w:rsidR="00581AF4" w14:paraId="6ACCF8EB"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192E396A" w14:textId="1E42FEA6" w:rsidR="00581AF4" w:rsidRDefault="00581AF4" w:rsidP="00581AF4">
            <w:pPr>
              <w:spacing w:after="100"/>
              <w:jc w:val="both"/>
              <w:rPr>
                <w:rFonts w:ascii="Arial" w:eastAsia="Times New Roman" w:hAnsi="Arial" w:cs="Arial"/>
                <w:color w:val="000000" w:themeColor="text1"/>
                <w:sz w:val="22"/>
                <w:szCs w:val="22"/>
              </w:rPr>
            </w:pPr>
            <w:r>
              <w:rPr>
                <w:sz w:val="17"/>
                <w:szCs w:val="17"/>
              </w:rPr>
              <w:t>Drug Offenses I</w:t>
            </w:r>
          </w:p>
        </w:tc>
        <w:tc>
          <w:tcPr>
            <w:tcW w:w="3156" w:type="dxa"/>
          </w:tcPr>
          <w:p w14:paraId="1D5D54A7" w14:textId="0B2FDD88"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3 Years</w:t>
            </w:r>
          </w:p>
        </w:tc>
        <w:tc>
          <w:tcPr>
            <w:tcW w:w="3156" w:type="dxa"/>
          </w:tcPr>
          <w:p w14:paraId="2085468A" w14:textId="4D851468" w:rsidR="00581AF4" w:rsidRDefault="006C77E9" w:rsidP="00581AF4">
            <w:pPr>
              <w:spacing w:after="10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rPr>
            </w:pPr>
            <w:r>
              <w:rPr>
                <w:sz w:val="17"/>
                <w:szCs w:val="17"/>
              </w:rPr>
              <w:t>NA</w:t>
            </w:r>
          </w:p>
        </w:tc>
      </w:tr>
      <w:tr w:rsidR="00581AF4" w14:paraId="3999F08E"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0ADCAD4E" w14:textId="61AE431D" w:rsidR="00581AF4" w:rsidRDefault="00581AF4" w:rsidP="00581AF4">
            <w:pPr>
              <w:spacing w:after="100"/>
              <w:jc w:val="both"/>
              <w:rPr>
                <w:sz w:val="17"/>
                <w:szCs w:val="17"/>
              </w:rPr>
            </w:pPr>
            <w:r>
              <w:rPr>
                <w:sz w:val="17"/>
                <w:szCs w:val="17"/>
              </w:rPr>
              <w:t>Drug Offenses II</w:t>
            </w:r>
          </w:p>
        </w:tc>
        <w:tc>
          <w:tcPr>
            <w:tcW w:w="3156" w:type="dxa"/>
          </w:tcPr>
          <w:p w14:paraId="4EF13279" w14:textId="75518CF8"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c>
          <w:tcPr>
            <w:tcW w:w="3156" w:type="dxa"/>
          </w:tcPr>
          <w:p w14:paraId="162A1B16" w14:textId="7CE169B0" w:rsidR="00581AF4" w:rsidRDefault="006C77E9"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NA</w:t>
            </w:r>
          </w:p>
        </w:tc>
      </w:tr>
      <w:tr w:rsidR="00581AF4" w14:paraId="263FFA62"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6C2FC067" w14:textId="7F7547F5" w:rsidR="00581AF4" w:rsidRDefault="00581AF4" w:rsidP="00581AF4">
            <w:pPr>
              <w:spacing w:after="100"/>
              <w:jc w:val="both"/>
              <w:rPr>
                <w:sz w:val="17"/>
                <w:szCs w:val="17"/>
              </w:rPr>
            </w:pPr>
            <w:r>
              <w:rPr>
                <w:sz w:val="17"/>
                <w:szCs w:val="17"/>
              </w:rPr>
              <w:t>Drug Offenses III</w:t>
            </w:r>
          </w:p>
        </w:tc>
        <w:tc>
          <w:tcPr>
            <w:tcW w:w="3156" w:type="dxa"/>
          </w:tcPr>
          <w:p w14:paraId="7EF51937" w14:textId="51567159"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c>
          <w:tcPr>
            <w:tcW w:w="3156" w:type="dxa"/>
          </w:tcPr>
          <w:p w14:paraId="1BD53F1B" w14:textId="7C473A2C"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581AF4" w14:paraId="7AD0B390" w14:textId="77777777" w:rsidTr="006C77E9">
        <w:trPr>
          <w:trHeight w:val="316"/>
        </w:trPr>
        <w:tc>
          <w:tcPr>
            <w:cnfStyle w:val="001000000000" w:firstRow="0" w:lastRow="0" w:firstColumn="1" w:lastColumn="0" w:oddVBand="0" w:evenVBand="0" w:oddHBand="0" w:evenHBand="0" w:firstRowFirstColumn="0" w:firstRowLastColumn="0" w:lastRowFirstColumn="0" w:lastRowLastColumn="0"/>
            <w:tcW w:w="3154" w:type="dxa"/>
          </w:tcPr>
          <w:p w14:paraId="000246E8" w14:textId="33858377" w:rsidR="00581AF4" w:rsidRDefault="00581AF4" w:rsidP="00581AF4">
            <w:pPr>
              <w:spacing w:after="100"/>
              <w:jc w:val="both"/>
              <w:rPr>
                <w:sz w:val="17"/>
                <w:szCs w:val="17"/>
              </w:rPr>
            </w:pPr>
            <w:r>
              <w:rPr>
                <w:sz w:val="17"/>
                <w:szCs w:val="17"/>
              </w:rPr>
              <w:t>Drug Offenses IV, V and VII</w:t>
            </w:r>
          </w:p>
        </w:tc>
        <w:tc>
          <w:tcPr>
            <w:tcW w:w="3156" w:type="dxa"/>
          </w:tcPr>
          <w:p w14:paraId="7266F57D" w14:textId="2411324A"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10 Years</w:t>
            </w:r>
          </w:p>
        </w:tc>
        <w:tc>
          <w:tcPr>
            <w:tcW w:w="3156" w:type="dxa"/>
          </w:tcPr>
          <w:p w14:paraId="72E4B9FD" w14:textId="42C3145A"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Years</w:t>
            </w:r>
          </w:p>
        </w:tc>
      </w:tr>
      <w:tr w:rsidR="00581AF4" w14:paraId="51505922"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1A7EEAFE" w14:textId="12785C53" w:rsidR="00581AF4" w:rsidRDefault="00581AF4" w:rsidP="00581AF4">
            <w:pPr>
              <w:spacing w:after="100"/>
              <w:jc w:val="both"/>
              <w:rPr>
                <w:sz w:val="17"/>
                <w:szCs w:val="17"/>
              </w:rPr>
            </w:pPr>
            <w:r>
              <w:rPr>
                <w:sz w:val="17"/>
                <w:szCs w:val="17"/>
              </w:rPr>
              <w:t>Drug Offenses VI</w:t>
            </w:r>
          </w:p>
        </w:tc>
        <w:tc>
          <w:tcPr>
            <w:tcW w:w="3156" w:type="dxa"/>
          </w:tcPr>
          <w:p w14:paraId="1209C7DA" w14:textId="2E7A9001"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c>
          <w:tcPr>
            <w:tcW w:w="3156" w:type="dxa"/>
          </w:tcPr>
          <w:p w14:paraId="1C44A4CE" w14:textId="2EF34484"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581AF4" w14:paraId="47C7EDEC"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7A186DAA" w14:textId="5BFF4209" w:rsidR="00581AF4" w:rsidRDefault="00581AF4" w:rsidP="00581AF4">
            <w:pPr>
              <w:spacing w:after="100"/>
              <w:jc w:val="both"/>
              <w:rPr>
                <w:sz w:val="17"/>
                <w:szCs w:val="17"/>
              </w:rPr>
            </w:pPr>
            <w:r>
              <w:rPr>
                <w:sz w:val="17"/>
                <w:szCs w:val="17"/>
              </w:rPr>
              <w:t>Embezzlement</w:t>
            </w:r>
          </w:p>
        </w:tc>
        <w:tc>
          <w:tcPr>
            <w:tcW w:w="3156" w:type="dxa"/>
          </w:tcPr>
          <w:p w14:paraId="16340CAB" w14:textId="6A954229"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Years</w:t>
            </w:r>
          </w:p>
        </w:tc>
        <w:tc>
          <w:tcPr>
            <w:tcW w:w="3156" w:type="dxa"/>
          </w:tcPr>
          <w:p w14:paraId="65D6C3FA" w14:textId="7B181880"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581AF4" w14:paraId="034142C7"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356C860A" w14:textId="79AB7414" w:rsidR="00581AF4" w:rsidRDefault="00581AF4" w:rsidP="00581AF4">
            <w:pPr>
              <w:spacing w:after="100"/>
              <w:jc w:val="both"/>
              <w:rPr>
                <w:sz w:val="17"/>
                <w:szCs w:val="17"/>
              </w:rPr>
            </w:pPr>
            <w:r>
              <w:rPr>
                <w:sz w:val="17"/>
                <w:szCs w:val="17"/>
              </w:rPr>
              <w:t>Fraud I and II</w:t>
            </w:r>
          </w:p>
        </w:tc>
        <w:tc>
          <w:tcPr>
            <w:tcW w:w="3156" w:type="dxa"/>
          </w:tcPr>
          <w:p w14:paraId="1F5EED40" w14:textId="41910E6A"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Years</w:t>
            </w:r>
          </w:p>
        </w:tc>
        <w:tc>
          <w:tcPr>
            <w:tcW w:w="3156" w:type="dxa"/>
          </w:tcPr>
          <w:p w14:paraId="17C06BE5" w14:textId="74E2DFAE"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581AF4" w14:paraId="09C2351D"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1473C26D" w14:textId="7A7C5AB8" w:rsidR="00581AF4" w:rsidRDefault="00581AF4" w:rsidP="00581AF4">
            <w:pPr>
              <w:spacing w:after="100"/>
              <w:jc w:val="both"/>
              <w:rPr>
                <w:sz w:val="17"/>
                <w:szCs w:val="17"/>
              </w:rPr>
            </w:pPr>
            <w:r>
              <w:rPr>
                <w:sz w:val="17"/>
                <w:szCs w:val="17"/>
              </w:rPr>
              <w:t>Harassment</w:t>
            </w:r>
          </w:p>
        </w:tc>
        <w:tc>
          <w:tcPr>
            <w:tcW w:w="3156" w:type="dxa"/>
          </w:tcPr>
          <w:p w14:paraId="37F69D26" w14:textId="0FB14619"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c>
          <w:tcPr>
            <w:tcW w:w="3156" w:type="dxa"/>
          </w:tcPr>
          <w:p w14:paraId="0AF79493" w14:textId="7B10F6C0" w:rsidR="00581AF4" w:rsidRDefault="006C77E9"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NA</w:t>
            </w:r>
          </w:p>
        </w:tc>
      </w:tr>
      <w:tr w:rsidR="00581AF4" w14:paraId="0B24DA54" w14:textId="77777777" w:rsidTr="006C77E9">
        <w:trPr>
          <w:trHeight w:val="316"/>
        </w:trPr>
        <w:tc>
          <w:tcPr>
            <w:cnfStyle w:val="001000000000" w:firstRow="0" w:lastRow="0" w:firstColumn="1" w:lastColumn="0" w:oddVBand="0" w:evenVBand="0" w:oddHBand="0" w:evenHBand="0" w:firstRowFirstColumn="0" w:firstRowLastColumn="0" w:lastRowFirstColumn="0" w:lastRowLastColumn="0"/>
            <w:tcW w:w="3154" w:type="dxa"/>
          </w:tcPr>
          <w:p w14:paraId="74198F10" w14:textId="1FD888F5" w:rsidR="00581AF4" w:rsidRDefault="00581AF4" w:rsidP="00581AF4">
            <w:pPr>
              <w:spacing w:after="100"/>
              <w:jc w:val="both"/>
              <w:rPr>
                <w:sz w:val="17"/>
                <w:szCs w:val="17"/>
              </w:rPr>
            </w:pPr>
            <w:r>
              <w:rPr>
                <w:sz w:val="17"/>
                <w:szCs w:val="17"/>
              </w:rPr>
              <w:t>Homicide I, II, III, IV</w:t>
            </w:r>
          </w:p>
        </w:tc>
        <w:tc>
          <w:tcPr>
            <w:tcW w:w="3156" w:type="dxa"/>
          </w:tcPr>
          <w:p w14:paraId="13923FFE" w14:textId="510ADA92"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ANY</w:t>
            </w:r>
          </w:p>
        </w:tc>
        <w:tc>
          <w:tcPr>
            <w:tcW w:w="3156" w:type="dxa"/>
          </w:tcPr>
          <w:p w14:paraId="6CADAB64" w14:textId="286FFC64"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r>
      <w:tr w:rsidR="00581AF4" w14:paraId="4113BA6E"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6064DDF2" w14:textId="2CE3DFDC" w:rsidR="00581AF4" w:rsidRDefault="00581AF4" w:rsidP="00581AF4">
            <w:pPr>
              <w:spacing w:after="100"/>
              <w:jc w:val="both"/>
              <w:rPr>
                <w:sz w:val="17"/>
                <w:szCs w:val="17"/>
              </w:rPr>
            </w:pPr>
            <w:r>
              <w:rPr>
                <w:sz w:val="17"/>
                <w:szCs w:val="17"/>
              </w:rPr>
              <w:t>Kidnapping I and II</w:t>
            </w:r>
          </w:p>
        </w:tc>
        <w:tc>
          <w:tcPr>
            <w:tcW w:w="3156" w:type="dxa"/>
          </w:tcPr>
          <w:p w14:paraId="18A36628" w14:textId="3D0FC2DB"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10 Years</w:t>
            </w:r>
          </w:p>
        </w:tc>
        <w:tc>
          <w:tcPr>
            <w:tcW w:w="3156" w:type="dxa"/>
          </w:tcPr>
          <w:p w14:paraId="4F92CCD2" w14:textId="20B30D6C" w:rsidR="00581AF4" w:rsidRDefault="00581AF4" w:rsidP="00581AF4">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Years</w:t>
            </w:r>
          </w:p>
        </w:tc>
      </w:tr>
      <w:tr w:rsidR="004B39F8" w:rsidRPr="004B39F8" w14:paraId="31764A83"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shd w:val="clear" w:color="auto" w:fill="BDD6EE" w:themeFill="accent5" w:themeFillTint="66"/>
          </w:tcPr>
          <w:p w14:paraId="629D0727" w14:textId="77777777" w:rsidR="004B39F8" w:rsidRPr="004B39F8" w:rsidRDefault="004B39F8" w:rsidP="004B39F8">
            <w:pPr>
              <w:spacing w:after="100"/>
              <w:jc w:val="center"/>
              <w:rPr>
                <w:sz w:val="17"/>
                <w:szCs w:val="17"/>
              </w:rPr>
            </w:pPr>
            <w:r w:rsidRPr="004B39F8">
              <w:rPr>
                <w:sz w:val="17"/>
                <w:szCs w:val="17"/>
              </w:rPr>
              <w:t>Offense</w:t>
            </w:r>
          </w:p>
        </w:tc>
        <w:tc>
          <w:tcPr>
            <w:tcW w:w="3156" w:type="dxa"/>
            <w:shd w:val="clear" w:color="auto" w:fill="BDD6EE" w:themeFill="accent5" w:themeFillTint="66"/>
          </w:tcPr>
          <w:p w14:paraId="3D284480" w14:textId="77777777" w:rsidR="004B39F8" w:rsidRPr="004B39F8" w:rsidRDefault="004B39F8" w:rsidP="004B39F8">
            <w:pPr>
              <w:spacing w:after="100"/>
              <w:jc w:val="center"/>
              <w:cnfStyle w:val="000000000000" w:firstRow="0" w:lastRow="0" w:firstColumn="0" w:lastColumn="0" w:oddVBand="0" w:evenVBand="0" w:oddHBand="0" w:evenHBand="0" w:firstRowFirstColumn="0" w:firstRowLastColumn="0" w:lastRowFirstColumn="0" w:lastRowLastColumn="0"/>
              <w:rPr>
                <w:b/>
                <w:bCs/>
                <w:sz w:val="17"/>
                <w:szCs w:val="17"/>
              </w:rPr>
            </w:pPr>
            <w:r w:rsidRPr="004B39F8">
              <w:rPr>
                <w:b/>
                <w:bCs/>
                <w:sz w:val="17"/>
                <w:szCs w:val="17"/>
              </w:rPr>
              <w:t>Felony</w:t>
            </w:r>
          </w:p>
        </w:tc>
        <w:tc>
          <w:tcPr>
            <w:tcW w:w="3156" w:type="dxa"/>
            <w:shd w:val="clear" w:color="auto" w:fill="BDD6EE" w:themeFill="accent5" w:themeFillTint="66"/>
          </w:tcPr>
          <w:p w14:paraId="4CD8BA77" w14:textId="77777777" w:rsidR="004B39F8" w:rsidRPr="004B39F8" w:rsidRDefault="004B39F8" w:rsidP="004B39F8">
            <w:pPr>
              <w:spacing w:after="100"/>
              <w:jc w:val="center"/>
              <w:cnfStyle w:val="000000000000" w:firstRow="0" w:lastRow="0" w:firstColumn="0" w:lastColumn="0" w:oddVBand="0" w:evenVBand="0" w:oddHBand="0" w:evenHBand="0" w:firstRowFirstColumn="0" w:firstRowLastColumn="0" w:lastRowFirstColumn="0" w:lastRowLastColumn="0"/>
              <w:rPr>
                <w:b/>
                <w:bCs/>
                <w:sz w:val="17"/>
                <w:szCs w:val="17"/>
              </w:rPr>
            </w:pPr>
            <w:r w:rsidRPr="004B39F8">
              <w:rPr>
                <w:b/>
                <w:bCs/>
                <w:sz w:val="17"/>
                <w:szCs w:val="17"/>
              </w:rPr>
              <w:t>Misdemeanor</w:t>
            </w:r>
          </w:p>
        </w:tc>
      </w:tr>
      <w:tr w:rsidR="004B39F8" w14:paraId="1F2F5090"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70079148" w14:textId="57C1DA92" w:rsidR="004B39F8" w:rsidRDefault="004B39F8" w:rsidP="004B39F8">
            <w:pPr>
              <w:spacing w:after="100"/>
              <w:jc w:val="both"/>
              <w:rPr>
                <w:sz w:val="17"/>
                <w:szCs w:val="17"/>
              </w:rPr>
            </w:pPr>
            <w:r>
              <w:rPr>
                <w:sz w:val="17"/>
                <w:szCs w:val="17"/>
              </w:rPr>
              <w:t>Organized Crime</w:t>
            </w:r>
          </w:p>
        </w:tc>
        <w:tc>
          <w:tcPr>
            <w:tcW w:w="3156" w:type="dxa"/>
          </w:tcPr>
          <w:p w14:paraId="6D5D5DE1" w14:textId="42EB04C8" w:rsidR="004B39F8" w:rsidRDefault="004B39F8"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c>
          <w:tcPr>
            <w:tcW w:w="3156" w:type="dxa"/>
          </w:tcPr>
          <w:p w14:paraId="31E78224" w14:textId="4D233C28" w:rsidR="004B39F8" w:rsidRDefault="004B39F8"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6C77E9" w14:paraId="0D4D428E"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2326281E" w14:textId="3613D075" w:rsidR="006C77E9" w:rsidRDefault="006C77E9" w:rsidP="004B39F8">
            <w:pPr>
              <w:spacing w:after="100"/>
              <w:jc w:val="both"/>
              <w:rPr>
                <w:sz w:val="17"/>
                <w:szCs w:val="17"/>
              </w:rPr>
            </w:pPr>
            <w:r>
              <w:rPr>
                <w:sz w:val="17"/>
                <w:szCs w:val="17"/>
              </w:rPr>
              <w:t>Robbery</w:t>
            </w:r>
          </w:p>
        </w:tc>
        <w:tc>
          <w:tcPr>
            <w:tcW w:w="3156" w:type="dxa"/>
          </w:tcPr>
          <w:p w14:paraId="09DDC10C" w14:textId="3F381B59"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10 Years</w:t>
            </w:r>
          </w:p>
        </w:tc>
        <w:tc>
          <w:tcPr>
            <w:tcW w:w="3156" w:type="dxa"/>
          </w:tcPr>
          <w:p w14:paraId="1B439B0A" w14:textId="078E30DF"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5 Years</w:t>
            </w:r>
          </w:p>
        </w:tc>
      </w:tr>
      <w:tr w:rsidR="006C77E9" w14:paraId="450EA685"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307AF253" w14:textId="0BC9DEB0" w:rsidR="006C77E9" w:rsidRPr="00093E0D" w:rsidRDefault="006C77E9" w:rsidP="004B39F8">
            <w:pPr>
              <w:spacing w:after="100"/>
              <w:jc w:val="both"/>
              <w:rPr>
                <w:b w:val="0"/>
                <w:sz w:val="18"/>
                <w:szCs w:val="18"/>
              </w:rPr>
            </w:pPr>
            <w:r>
              <w:rPr>
                <w:sz w:val="17"/>
                <w:szCs w:val="17"/>
              </w:rPr>
              <w:t>Sex Crimes – Other</w:t>
            </w:r>
          </w:p>
        </w:tc>
        <w:tc>
          <w:tcPr>
            <w:tcW w:w="3156" w:type="dxa"/>
          </w:tcPr>
          <w:p w14:paraId="77AF370F" w14:textId="337452F0" w:rsidR="006C77E9" w:rsidRPr="00093E0D"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b/>
                <w:sz w:val="18"/>
                <w:szCs w:val="18"/>
              </w:rPr>
            </w:pPr>
            <w:r>
              <w:rPr>
                <w:sz w:val="17"/>
                <w:szCs w:val="17"/>
              </w:rPr>
              <w:t>7 Years</w:t>
            </w:r>
          </w:p>
        </w:tc>
        <w:tc>
          <w:tcPr>
            <w:tcW w:w="3156" w:type="dxa"/>
          </w:tcPr>
          <w:p w14:paraId="17E043A5" w14:textId="2CDF8D8C" w:rsidR="006C77E9" w:rsidRPr="00093E0D"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b/>
                <w:sz w:val="18"/>
                <w:szCs w:val="18"/>
              </w:rPr>
            </w:pPr>
            <w:r>
              <w:rPr>
                <w:sz w:val="17"/>
                <w:szCs w:val="17"/>
              </w:rPr>
              <w:t>3 Years</w:t>
            </w:r>
          </w:p>
        </w:tc>
      </w:tr>
      <w:tr w:rsidR="006C77E9" w14:paraId="6C912108" w14:textId="77777777" w:rsidTr="006C77E9">
        <w:trPr>
          <w:trHeight w:val="316"/>
        </w:trPr>
        <w:tc>
          <w:tcPr>
            <w:cnfStyle w:val="001000000000" w:firstRow="0" w:lastRow="0" w:firstColumn="1" w:lastColumn="0" w:oddVBand="0" w:evenVBand="0" w:oddHBand="0" w:evenHBand="0" w:firstRowFirstColumn="0" w:firstRowLastColumn="0" w:lastRowFirstColumn="0" w:lastRowLastColumn="0"/>
            <w:tcW w:w="3154" w:type="dxa"/>
          </w:tcPr>
          <w:p w14:paraId="0E1B1466" w14:textId="74A2680B" w:rsidR="006C77E9" w:rsidRDefault="006C77E9" w:rsidP="004B39F8">
            <w:pPr>
              <w:spacing w:after="100"/>
              <w:jc w:val="both"/>
              <w:rPr>
                <w:sz w:val="17"/>
                <w:szCs w:val="17"/>
              </w:rPr>
            </w:pPr>
            <w:r>
              <w:rPr>
                <w:sz w:val="17"/>
                <w:szCs w:val="17"/>
              </w:rPr>
              <w:t>Sex Crimes Against a Person OR Child</w:t>
            </w:r>
          </w:p>
        </w:tc>
        <w:tc>
          <w:tcPr>
            <w:tcW w:w="3156" w:type="dxa"/>
          </w:tcPr>
          <w:p w14:paraId="3FEA4C72" w14:textId="2BEF47F4"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ANY</w:t>
            </w:r>
          </w:p>
        </w:tc>
        <w:tc>
          <w:tcPr>
            <w:tcW w:w="3156" w:type="dxa"/>
          </w:tcPr>
          <w:p w14:paraId="1A837E85" w14:textId="6C419918"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r>
      <w:tr w:rsidR="006C77E9" w14:paraId="243ED6C3"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2F47C162" w14:textId="772457C2" w:rsidR="006C77E9" w:rsidRDefault="006C77E9" w:rsidP="004B39F8">
            <w:pPr>
              <w:spacing w:after="100"/>
              <w:jc w:val="both"/>
              <w:rPr>
                <w:sz w:val="17"/>
                <w:szCs w:val="17"/>
              </w:rPr>
            </w:pPr>
            <w:r>
              <w:rPr>
                <w:sz w:val="17"/>
                <w:szCs w:val="17"/>
              </w:rPr>
              <w:t>Theft/Larceny</w:t>
            </w:r>
          </w:p>
        </w:tc>
        <w:tc>
          <w:tcPr>
            <w:tcW w:w="3156" w:type="dxa"/>
          </w:tcPr>
          <w:p w14:paraId="6ED2A10B" w14:textId="7E57FB21"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c>
          <w:tcPr>
            <w:tcW w:w="3156" w:type="dxa"/>
          </w:tcPr>
          <w:p w14:paraId="21791809" w14:textId="0427E650"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6C77E9" w14:paraId="258EBF0A"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0DB7E8A6" w14:textId="6D753BA9" w:rsidR="006C77E9" w:rsidRDefault="006C77E9" w:rsidP="004B39F8">
            <w:pPr>
              <w:spacing w:after="100"/>
              <w:jc w:val="both"/>
              <w:rPr>
                <w:sz w:val="17"/>
                <w:szCs w:val="17"/>
              </w:rPr>
            </w:pPr>
            <w:r>
              <w:rPr>
                <w:sz w:val="17"/>
                <w:szCs w:val="17"/>
              </w:rPr>
              <w:t>Weapons Related I and II</w:t>
            </w:r>
          </w:p>
        </w:tc>
        <w:tc>
          <w:tcPr>
            <w:tcW w:w="3156" w:type="dxa"/>
          </w:tcPr>
          <w:p w14:paraId="6364CFDD" w14:textId="260E5208"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7 Years</w:t>
            </w:r>
          </w:p>
        </w:tc>
        <w:tc>
          <w:tcPr>
            <w:tcW w:w="3156" w:type="dxa"/>
          </w:tcPr>
          <w:p w14:paraId="2D874DE4" w14:textId="21EC0793"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r>
              <w:rPr>
                <w:sz w:val="17"/>
                <w:szCs w:val="17"/>
              </w:rPr>
              <w:t>3 Years</w:t>
            </w:r>
          </w:p>
        </w:tc>
      </w:tr>
      <w:tr w:rsidR="006C77E9" w14:paraId="70417380" w14:textId="77777777" w:rsidTr="006C77E9">
        <w:trPr>
          <w:trHeight w:val="300"/>
        </w:trPr>
        <w:tc>
          <w:tcPr>
            <w:cnfStyle w:val="001000000000" w:firstRow="0" w:lastRow="0" w:firstColumn="1" w:lastColumn="0" w:oddVBand="0" w:evenVBand="0" w:oddHBand="0" w:evenHBand="0" w:firstRowFirstColumn="0" w:firstRowLastColumn="0" w:lastRowFirstColumn="0" w:lastRowLastColumn="0"/>
            <w:tcW w:w="3154" w:type="dxa"/>
          </w:tcPr>
          <w:p w14:paraId="483067A3" w14:textId="1E69C894" w:rsidR="006C77E9" w:rsidRDefault="006C77E9" w:rsidP="004B39F8">
            <w:pPr>
              <w:spacing w:after="100"/>
              <w:jc w:val="both"/>
              <w:rPr>
                <w:sz w:val="17"/>
                <w:szCs w:val="17"/>
              </w:rPr>
            </w:pPr>
          </w:p>
        </w:tc>
        <w:tc>
          <w:tcPr>
            <w:tcW w:w="3156" w:type="dxa"/>
          </w:tcPr>
          <w:p w14:paraId="0404C35E" w14:textId="414F6887"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p>
        </w:tc>
        <w:tc>
          <w:tcPr>
            <w:tcW w:w="3156" w:type="dxa"/>
          </w:tcPr>
          <w:p w14:paraId="45C796E2" w14:textId="4B060735" w:rsidR="006C77E9" w:rsidRDefault="006C77E9" w:rsidP="004B39F8">
            <w:pPr>
              <w:spacing w:after="100"/>
              <w:jc w:val="both"/>
              <w:cnfStyle w:val="000000000000" w:firstRow="0" w:lastRow="0" w:firstColumn="0" w:lastColumn="0" w:oddVBand="0" w:evenVBand="0" w:oddHBand="0" w:evenHBand="0" w:firstRowFirstColumn="0" w:firstRowLastColumn="0" w:lastRowFirstColumn="0" w:lastRowLastColumn="0"/>
              <w:rPr>
                <w:sz w:val="17"/>
                <w:szCs w:val="17"/>
              </w:rPr>
            </w:pPr>
          </w:p>
        </w:tc>
      </w:tr>
    </w:tbl>
    <w:p w14:paraId="3CE863C9" w14:textId="09F3117A" w:rsidR="004B39F8" w:rsidRDefault="004B39F8" w:rsidP="00222AC0">
      <w:pPr>
        <w:spacing w:after="100"/>
        <w:jc w:val="both"/>
        <w:rPr>
          <w:rFonts w:ascii="Arial" w:eastAsia="Times New Roman" w:hAnsi="Arial" w:cs="Arial"/>
          <w:color w:val="000000" w:themeColor="text1"/>
          <w:sz w:val="22"/>
          <w:szCs w:val="22"/>
        </w:rPr>
      </w:pPr>
    </w:p>
    <w:p w14:paraId="77DF58F0" w14:textId="7C771615" w:rsidR="00222AC0" w:rsidRPr="00222AC0" w:rsidRDefault="00222AC0" w:rsidP="00222AC0">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In addition, the </w:t>
      </w:r>
      <w:r w:rsidR="00B81404">
        <w:rPr>
          <w:rFonts w:ascii="Arial" w:eastAsia="Times New Roman" w:hAnsi="Arial" w:cs="Arial"/>
          <w:color w:val="000000" w:themeColor="text1"/>
          <w:sz w:val="22"/>
          <w:szCs w:val="22"/>
        </w:rPr>
        <w:t>BlueLine Property Management</w:t>
      </w:r>
      <w:r w:rsidRPr="00222AC0">
        <w:rPr>
          <w:rFonts w:ascii="Arial" w:eastAsia="Times New Roman" w:hAnsi="Arial" w:cs="Arial"/>
          <w:color w:val="000000" w:themeColor="text1"/>
          <w:sz w:val="22"/>
          <w:szCs w:val="22"/>
        </w:rPr>
        <w:t xml:space="preserve"> will obtain rental verifications from current and past five (5) years of addressed. Applicants will be denied for derogatory landlord history if any of the following are reported:</w:t>
      </w:r>
    </w:p>
    <w:p w14:paraId="1CB638BF" w14:textId="77777777" w:rsidR="00B81404" w:rsidRDefault="00222AC0" w:rsidP="00B81404">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L</w:t>
      </w:r>
      <w:r w:rsidR="00B81404">
        <w:rPr>
          <w:rFonts w:ascii="Arial" w:eastAsia="Times New Roman" w:hAnsi="Arial" w:cs="Arial"/>
          <w:color w:val="000000" w:themeColor="text1"/>
          <w:sz w:val="22"/>
          <w:szCs w:val="22"/>
        </w:rPr>
        <w:t xml:space="preserve">ate 4 or more times in a year </w:t>
      </w:r>
    </w:p>
    <w:p w14:paraId="32612C86" w14:textId="77777777" w:rsidR="00B81404" w:rsidRDefault="00B81404" w:rsidP="00B81404">
      <w:pPr>
        <w:pStyle w:val="ListParagraph"/>
        <w:numPr>
          <w:ilvl w:val="0"/>
          <w:numId w:val="5"/>
        </w:num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lastRenderedPageBreak/>
        <w:t xml:space="preserve">Repeated lease violations </w:t>
      </w:r>
    </w:p>
    <w:p w14:paraId="3A5EB1AB" w14:textId="77777777" w:rsidR="00B81404" w:rsidRDefault="00222AC0" w:rsidP="00B81404">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Excessive damage to uni</w:t>
      </w:r>
      <w:r w:rsidR="00B81404">
        <w:rPr>
          <w:rFonts w:ascii="Arial" w:eastAsia="Times New Roman" w:hAnsi="Arial" w:cs="Arial"/>
          <w:color w:val="000000" w:themeColor="text1"/>
          <w:sz w:val="22"/>
          <w:szCs w:val="22"/>
        </w:rPr>
        <w:t>t</w:t>
      </w:r>
    </w:p>
    <w:p w14:paraId="09165BA5" w14:textId="77777777" w:rsidR="00B81404" w:rsidRDefault="00B81404" w:rsidP="00B81404">
      <w:pPr>
        <w:pStyle w:val="ListParagraph"/>
        <w:numPr>
          <w:ilvl w:val="0"/>
          <w:numId w:val="5"/>
        </w:num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Damage to common areas</w:t>
      </w:r>
    </w:p>
    <w:p w14:paraId="292FCD31" w14:textId="77777777" w:rsidR="00B81404" w:rsidRDefault="00222AC0" w:rsidP="00B81404">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 xml:space="preserve">Disruptive conduct (resident or </w:t>
      </w:r>
      <w:r w:rsidR="00B81404">
        <w:rPr>
          <w:rFonts w:ascii="Arial" w:eastAsia="Times New Roman" w:hAnsi="Arial" w:cs="Arial"/>
          <w:color w:val="000000" w:themeColor="text1"/>
          <w:sz w:val="22"/>
          <w:szCs w:val="22"/>
        </w:rPr>
        <w:t>guests)</w:t>
      </w:r>
    </w:p>
    <w:p w14:paraId="50A8DC02" w14:textId="77777777" w:rsidR="00B81404" w:rsidRDefault="00222AC0" w:rsidP="00222AC0">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Eviction filed within last two</w:t>
      </w:r>
      <w:r w:rsidR="00B81404">
        <w:rPr>
          <w:rFonts w:ascii="Arial" w:eastAsia="Times New Roman" w:hAnsi="Arial" w:cs="Arial"/>
          <w:color w:val="000000" w:themeColor="text1"/>
          <w:sz w:val="22"/>
          <w:szCs w:val="22"/>
        </w:rPr>
        <w:t xml:space="preserve"> years</w:t>
      </w:r>
    </w:p>
    <w:p w14:paraId="3599AAA5" w14:textId="77777777" w:rsidR="00B81404" w:rsidRDefault="00222AC0" w:rsidP="00B81404">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Unauthorized occupants</w:t>
      </w:r>
    </w:p>
    <w:p w14:paraId="5C79EE30" w14:textId="77777777" w:rsidR="00B81404" w:rsidRDefault="00B81404" w:rsidP="00B81404">
      <w:pPr>
        <w:pStyle w:val="ListParagraph"/>
        <w:numPr>
          <w:ilvl w:val="0"/>
          <w:numId w:val="5"/>
        </w:numPr>
        <w:spacing w:after="100"/>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False information provided</w:t>
      </w:r>
    </w:p>
    <w:p w14:paraId="47BE1710" w14:textId="12CA50D1" w:rsidR="00222AC0" w:rsidRPr="00B81404" w:rsidRDefault="00222AC0" w:rsidP="00222AC0">
      <w:pPr>
        <w:pStyle w:val="ListParagraph"/>
        <w:numPr>
          <w:ilvl w:val="0"/>
          <w:numId w:val="5"/>
        </w:numPr>
        <w:spacing w:after="100"/>
        <w:rPr>
          <w:rFonts w:ascii="Arial" w:eastAsia="Times New Roman" w:hAnsi="Arial" w:cs="Arial"/>
          <w:color w:val="000000" w:themeColor="text1"/>
          <w:sz w:val="22"/>
          <w:szCs w:val="22"/>
        </w:rPr>
      </w:pPr>
      <w:r w:rsidRPr="00B81404">
        <w:rPr>
          <w:rFonts w:ascii="Arial" w:eastAsia="Times New Roman" w:hAnsi="Arial" w:cs="Arial"/>
          <w:color w:val="000000" w:themeColor="text1"/>
          <w:sz w:val="22"/>
          <w:szCs w:val="22"/>
        </w:rPr>
        <w:t>Eviction from subsidized</w:t>
      </w:r>
      <w:r w:rsidR="00B81404">
        <w:rPr>
          <w:rFonts w:ascii="Arial" w:eastAsia="Times New Roman" w:hAnsi="Arial" w:cs="Arial"/>
          <w:color w:val="000000" w:themeColor="text1"/>
          <w:sz w:val="22"/>
          <w:szCs w:val="22"/>
        </w:rPr>
        <w:t xml:space="preserve"> </w:t>
      </w:r>
      <w:r w:rsidRPr="00B81404">
        <w:rPr>
          <w:rFonts w:ascii="Arial" w:eastAsia="Times New Roman" w:hAnsi="Arial" w:cs="Arial"/>
          <w:color w:val="000000" w:themeColor="text1"/>
          <w:sz w:val="22"/>
          <w:szCs w:val="22"/>
        </w:rPr>
        <w:t>housing within last three years</w:t>
      </w:r>
    </w:p>
    <w:p w14:paraId="228117DE" w14:textId="77777777" w:rsidR="00B81404" w:rsidRDefault="00B81404" w:rsidP="00B81404">
      <w:pPr>
        <w:spacing w:after="100"/>
        <w:jc w:val="both"/>
        <w:rPr>
          <w:rFonts w:ascii="Arial" w:eastAsia="Times New Roman" w:hAnsi="Arial" w:cs="Arial"/>
          <w:color w:val="000000" w:themeColor="text1"/>
          <w:sz w:val="22"/>
          <w:szCs w:val="22"/>
        </w:rPr>
      </w:pPr>
    </w:p>
    <w:p w14:paraId="6287934F" w14:textId="1AB7DAD5" w:rsidR="00222AC0" w:rsidRPr="00222AC0" w:rsidRDefault="00B81404" w:rsidP="00B81404">
      <w:pPr>
        <w:spacing w:after="100"/>
        <w:jc w:val="both"/>
        <w:rPr>
          <w:rFonts w:ascii="Arial" w:eastAsia="Times New Roman" w:hAnsi="Arial" w:cs="Arial"/>
          <w:color w:val="000000" w:themeColor="text1"/>
          <w:sz w:val="22"/>
          <w:szCs w:val="22"/>
        </w:rPr>
      </w:pPr>
      <w:r>
        <w:rPr>
          <w:rFonts w:ascii="Arial" w:eastAsia="Times New Roman" w:hAnsi="Arial" w:cs="Arial"/>
          <w:color w:val="000000" w:themeColor="text1"/>
          <w:sz w:val="22"/>
          <w:szCs w:val="22"/>
        </w:rPr>
        <w:t>BlueLine Property Management</w:t>
      </w:r>
      <w:r w:rsidR="00222AC0" w:rsidRPr="00222AC0">
        <w:rPr>
          <w:rFonts w:ascii="Arial" w:eastAsia="Times New Roman" w:hAnsi="Arial" w:cs="Arial"/>
          <w:color w:val="000000" w:themeColor="text1"/>
          <w:sz w:val="22"/>
          <w:szCs w:val="22"/>
        </w:rPr>
        <w:t xml:space="preserve"> will also review applicants credit reports. Having unfavorable credit will not be an automatic denial. If there are past landlords listed where you either currently owe money to or owed money to and have paid, rental verifications will be obtained for those addresses as well.</w:t>
      </w:r>
    </w:p>
    <w:p w14:paraId="36F5003C" w14:textId="3A1262A9" w:rsidR="00F53796" w:rsidRDefault="00222AC0" w:rsidP="00F53796">
      <w:pPr>
        <w:spacing w:after="100"/>
        <w:ind w:firstLine="1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After a review of each household member's credit report, </w:t>
      </w:r>
      <w:r w:rsidR="00D96FA0">
        <w:rPr>
          <w:rFonts w:ascii="Arial" w:eastAsia="Times New Roman" w:hAnsi="Arial" w:cs="Arial"/>
          <w:color w:val="000000" w:themeColor="text1"/>
          <w:sz w:val="22"/>
          <w:szCs w:val="22"/>
        </w:rPr>
        <w:t>BlueLine Property Management</w:t>
      </w:r>
      <w:r w:rsidRPr="00222AC0">
        <w:rPr>
          <w:rFonts w:ascii="Arial" w:eastAsia="Times New Roman" w:hAnsi="Arial" w:cs="Arial"/>
          <w:color w:val="000000" w:themeColor="text1"/>
          <w:sz w:val="22"/>
          <w:szCs w:val="22"/>
        </w:rPr>
        <w:t xml:space="preserve"> </w:t>
      </w:r>
      <w:r w:rsidR="006C77E9">
        <w:rPr>
          <w:rFonts w:ascii="Arial" w:eastAsia="Times New Roman" w:hAnsi="Arial" w:cs="Arial"/>
          <w:color w:val="000000" w:themeColor="text1"/>
          <w:sz w:val="22"/>
          <w:szCs w:val="22"/>
        </w:rPr>
        <w:t>may</w:t>
      </w:r>
      <w:r w:rsidRPr="00222AC0">
        <w:rPr>
          <w:rFonts w:ascii="Arial" w:eastAsia="Times New Roman" w:hAnsi="Arial" w:cs="Arial"/>
          <w:color w:val="000000" w:themeColor="text1"/>
          <w:sz w:val="22"/>
          <w:szCs w:val="22"/>
        </w:rPr>
        <w:t xml:space="preserve"> deny admission for the following credit reasons:</w:t>
      </w:r>
    </w:p>
    <w:p w14:paraId="352B5330" w14:textId="77777777" w:rsidR="00F53796" w:rsidRDefault="00222AC0" w:rsidP="00F53796">
      <w:pPr>
        <w:pStyle w:val="ListParagraph"/>
        <w:numPr>
          <w:ilvl w:val="0"/>
          <w:numId w:val="6"/>
        </w:numPr>
        <w:spacing w:after="100"/>
        <w:rPr>
          <w:rFonts w:ascii="Arial" w:eastAsia="Times New Roman" w:hAnsi="Arial" w:cs="Arial"/>
          <w:color w:val="000000" w:themeColor="text1"/>
          <w:sz w:val="22"/>
          <w:szCs w:val="22"/>
        </w:rPr>
      </w:pPr>
      <w:r w:rsidRPr="00F53796">
        <w:rPr>
          <w:rFonts w:ascii="Arial" w:eastAsia="Times New Roman" w:hAnsi="Arial" w:cs="Arial"/>
          <w:color w:val="000000" w:themeColor="text1"/>
          <w:sz w:val="22"/>
          <w:szCs w:val="22"/>
        </w:rPr>
        <w:t xml:space="preserve">Balance(s) owed to utility company (this does not include cell phone </w:t>
      </w:r>
      <w:r w:rsidR="00F53796">
        <w:rPr>
          <w:rFonts w:ascii="Arial" w:eastAsia="Times New Roman" w:hAnsi="Arial" w:cs="Arial"/>
          <w:color w:val="000000" w:themeColor="text1"/>
          <w:sz w:val="22"/>
          <w:szCs w:val="22"/>
        </w:rPr>
        <w:t>or cable/satellite providers)</w:t>
      </w:r>
    </w:p>
    <w:p w14:paraId="3E1EBBB6" w14:textId="6F554455" w:rsidR="00222AC0" w:rsidRPr="00F53796" w:rsidRDefault="00222AC0" w:rsidP="00F53796">
      <w:pPr>
        <w:pStyle w:val="ListParagraph"/>
        <w:numPr>
          <w:ilvl w:val="0"/>
          <w:numId w:val="6"/>
        </w:numPr>
        <w:spacing w:after="100"/>
        <w:rPr>
          <w:rFonts w:ascii="Arial" w:eastAsia="Times New Roman" w:hAnsi="Arial" w:cs="Arial"/>
          <w:color w:val="000000" w:themeColor="text1"/>
          <w:sz w:val="22"/>
          <w:szCs w:val="22"/>
        </w:rPr>
      </w:pPr>
      <w:r w:rsidRPr="00F53796">
        <w:rPr>
          <w:rFonts w:ascii="Arial" w:eastAsia="Times New Roman" w:hAnsi="Arial" w:cs="Arial"/>
          <w:color w:val="000000" w:themeColor="text1"/>
          <w:sz w:val="22"/>
          <w:szCs w:val="22"/>
        </w:rPr>
        <w:t>Balance(s) owed to previous Landlords</w:t>
      </w:r>
    </w:p>
    <w:p w14:paraId="478A436B" w14:textId="6E5FB386" w:rsidR="00222AC0" w:rsidRDefault="00222AC0" w:rsidP="00222AC0">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Applications will be approved if applicant can provide documentation that balances owed of less than $500 are paid to previous landlord in full. If balance is more than $500, applicant can provide documentation regarding payment plan with previous landlord.</w:t>
      </w:r>
    </w:p>
    <w:p w14:paraId="4CD3D0A3" w14:textId="3306A868" w:rsidR="006C77E9" w:rsidRDefault="006C77E9" w:rsidP="006C77E9">
      <w:pPr>
        <w:spacing w:after="100"/>
        <w:rPr>
          <w:rFonts w:ascii="Arial" w:eastAsia="Times New Roman" w:hAnsi="Arial" w:cs="Arial"/>
          <w:b/>
          <w:i/>
          <w:color w:val="000000" w:themeColor="text1"/>
          <w:sz w:val="22"/>
          <w:szCs w:val="22"/>
          <w:u w:val="single"/>
        </w:rPr>
      </w:pPr>
      <w:r>
        <w:rPr>
          <w:rFonts w:ascii="Arial" w:eastAsia="Times New Roman" w:hAnsi="Arial" w:cs="Arial"/>
          <w:b/>
          <w:i/>
          <w:color w:val="000000" w:themeColor="text1"/>
          <w:sz w:val="22"/>
          <w:szCs w:val="22"/>
          <w:u w:val="single"/>
        </w:rPr>
        <w:t>Student Status</w:t>
      </w:r>
    </w:p>
    <w:p w14:paraId="02F1713E" w14:textId="77777777" w:rsidR="006C77E9" w:rsidRPr="006307D8" w:rsidRDefault="006C77E9" w:rsidP="006C77E9">
      <w:pPr>
        <w:spacing w:after="100"/>
        <w:rPr>
          <w:rFonts w:ascii="Arial" w:hAnsi="Arial" w:cs="Arial"/>
          <w:sz w:val="22"/>
          <w:szCs w:val="22"/>
        </w:rPr>
      </w:pPr>
      <w:r w:rsidRPr="006307D8">
        <w:rPr>
          <w:rFonts w:ascii="Arial" w:hAnsi="Arial" w:cs="Arial"/>
          <w:sz w:val="22"/>
          <w:szCs w:val="22"/>
        </w:rPr>
        <w:t xml:space="preserve">Student households comprised of full-time students are prohibited unless the household meets one of five exceptions continually for the period of time that everyone is a fulltime student. This includes: </w:t>
      </w:r>
    </w:p>
    <w:p w14:paraId="1491B29E" w14:textId="77777777" w:rsidR="006C77E9" w:rsidRPr="006307D8" w:rsidRDefault="006C77E9" w:rsidP="006307D8">
      <w:pPr>
        <w:pStyle w:val="ListParagraph"/>
        <w:numPr>
          <w:ilvl w:val="0"/>
          <w:numId w:val="9"/>
        </w:numPr>
        <w:spacing w:after="100"/>
        <w:rPr>
          <w:rFonts w:ascii="Arial" w:hAnsi="Arial" w:cs="Arial"/>
          <w:sz w:val="22"/>
          <w:szCs w:val="22"/>
        </w:rPr>
      </w:pPr>
      <w:r w:rsidRPr="006307D8">
        <w:rPr>
          <w:rFonts w:ascii="Arial" w:hAnsi="Arial" w:cs="Arial"/>
          <w:sz w:val="22"/>
          <w:szCs w:val="22"/>
        </w:rPr>
        <w:t xml:space="preserve">married and entitled to file a joint tax return, </w:t>
      </w:r>
    </w:p>
    <w:p w14:paraId="6398DBE1" w14:textId="77777777" w:rsidR="006C77E9" w:rsidRPr="006307D8" w:rsidRDefault="006C77E9" w:rsidP="006307D8">
      <w:pPr>
        <w:pStyle w:val="ListParagraph"/>
        <w:numPr>
          <w:ilvl w:val="0"/>
          <w:numId w:val="9"/>
        </w:numPr>
        <w:spacing w:after="100"/>
        <w:rPr>
          <w:rFonts w:ascii="Arial" w:hAnsi="Arial" w:cs="Arial"/>
          <w:sz w:val="22"/>
          <w:szCs w:val="22"/>
        </w:rPr>
      </w:pPr>
      <w:r w:rsidRPr="006307D8">
        <w:rPr>
          <w:rFonts w:ascii="Arial" w:hAnsi="Arial" w:cs="Arial"/>
          <w:sz w:val="22"/>
          <w:szCs w:val="22"/>
        </w:rPr>
        <w:t>single parents with minor children in which the adult and children are not a tax dependant of any third party (minors- exclude parents residing outside of the household),</w:t>
      </w:r>
    </w:p>
    <w:p w14:paraId="5989A9D4" w14:textId="588F0077" w:rsidR="006C77E9" w:rsidRPr="006307D8" w:rsidRDefault="006C77E9" w:rsidP="006307D8">
      <w:pPr>
        <w:pStyle w:val="ListParagraph"/>
        <w:numPr>
          <w:ilvl w:val="0"/>
          <w:numId w:val="9"/>
        </w:numPr>
        <w:spacing w:after="100"/>
        <w:rPr>
          <w:rFonts w:ascii="Arial" w:hAnsi="Arial" w:cs="Arial"/>
          <w:sz w:val="22"/>
          <w:szCs w:val="22"/>
        </w:rPr>
      </w:pPr>
      <w:r w:rsidRPr="006307D8">
        <w:rPr>
          <w:rFonts w:ascii="Arial" w:hAnsi="Arial" w:cs="Arial"/>
          <w:sz w:val="22"/>
          <w:szCs w:val="22"/>
        </w:rPr>
        <w:t>receipt of state welfare assistance payments such as TANF,</w:t>
      </w:r>
    </w:p>
    <w:p w14:paraId="5A2D83E6" w14:textId="1F942661" w:rsidR="006C77E9" w:rsidRPr="006307D8" w:rsidRDefault="006C77E9" w:rsidP="006307D8">
      <w:pPr>
        <w:pStyle w:val="ListParagraph"/>
        <w:numPr>
          <w:ilvl w:val="0"/>
          <w:numId w:val="9"/>
        </w:numPr>
        <w:spacing w:after="100"/>
        <w:rPr>
          <w:rFonts w:ascii="Arial" w:hAnsi="Arial" w:cs="Arial"/>
          <w:sz w:val="22"/>
          <w:szCs w:val="22"/>
        </w:rPr>
      </w:pPr>
      <w:r w:rsidRPr="006307D8">
        <w:rPr>
          <w:rFonts w:ascii="Arial" w:hAnsi="Arial" w:cs="Arial"/>
          <w:sz w:val="22"/>
          <w:szCs w:val="22"/>
        </w:rPr>
        <w:t>former foster children &amp; adults,</w:t>
      </w:r>
    </w:p>
    <w:p w14:paraId="4627283A" w14:textId="5FC385FE" w:rsidR="006307D8" w:rsidRPr="006307D8" w:rsidRDefault="006C77E9" w:rsidP="006307D8">
      <w:pPr>
        <w:pStyle w:val="ListParagraph"/>
        <w:numPr>
          <w:ilvl w:val="0"/>
          <w:numId w:val="9"/>
        </w:numPr>
        <w:spacing w:after="100"/>
        <w:rPr>
          <w:rFonts w:ascii="Arial" w:hAnsi="Arial" w:cs="Arial"/>
          <w:sz w:val="22"/>
          <w:szCs w:val="22"/>
        </w:rPr>
      </w:pPr>
      <w:r w:rsidRPr="006307D8">
        <w:rPr>
          <w:rFonts w:ascii="Arial" w:hAnsi="Arial" w:cs="Arial"/>
          <w:sz w:val="22"/>
          <w:szCs w:val="22"/>
        </w:rPr>
        <w:t>and</w:t>
      </w:r>
      <w:r w:rsidR="006307D8">
        <w:rPr>
          <w:rFonts w:ascii="Arial" w:hAnsi="Arial" w:cs="Arial"/>
          <w:sz w:val="22"/>
          <w:szCs w:val="22"/>
        </w:rPr>
        <w:t>/or</w:t>
      </w:r>
      <w:r w:rsidRPr="006307D8">
        <w:rPr>
          <w:rFonts w:ascii="Arial" w:hAnsi="Arial" w:cs="Arial"/>
          <w:sz w:val="22"/>
          <w:szCs w:val="22"/>
        </w:rPr>
        <w:t xml:space="preserve"> those who get assistance from the Job Training Partnership Act or similar program.</w:t>
      </w:r>
    </w:p>
    <w:p w14:paraId="3AD55DA4" w14:textId="77777777" w:rsidR="006307D8" w:rsidRPr="006307D8" w:rsidRDefault="006307D8" w:rsidP="006C77E9">
      <w:pPr>
        <w:spacing w:after="100"/>
        <w:rPr>
          <w:rFonts w:ascii="Arial" w:hAnsi="Arial" w:cs="Arial"/>
          <w:sz w:val="22"/>
          <w:szCs w:val="22"/>
        </w:rPr>
      </w:pPr>
      <w:r w:rsidRPr="006307D8">
        <w:rPr>
          <w:rFonts w:ascii="Arial" w:hAnsi="Arial" w:cs="Arial"/>
          <w:sz w:val="22"/>
          <w:szCs w:val="22"/>
        </w:rPr>
        <w:t xml:space="preserve">NOTE: </w:t>
      </w:r>
      <w:r w:rsidR="006C77E9" w:rsidRPr="006307D8">
        <w:rPr>
          <w:rFonts w:ascii="Arial" w:hAnsi="Arial" w:cs="Arial"/>
          <w:sz w:val="22"/>
          <w:szCs w:val="22"/>
        </w:rPr>
        <w:t xml:space="preserve">Any household violating the LIHTC Student Rule will be terminated. </w:t>
      </w:r>
    </w:p>
    <w:p w14:paraId="200AAFAD" w14:textId="77777777" w:rsidR="006307D8" w:rsidRPr="006307D8" w:rsidRDefault="006C77E9" w:rsidP="006C77E9">
      <w:pPr>
        <w:spacing w:after="100"/>
        <w:rPr>
          <w:rFonts w:ascii="Arial" w:hAnsi="Arial" w:cs="Arial"/>
          <w:sz w:val="22"/>
          <w:szCs w:val="22"/>
        </w:rPr>
      </w:pPr>
      <w:r w:rsidRPr="006307D8">
        <w:rPr>
          <w:rFonts w:ascii="Arial" w:hAnsi="Arial" w:cs="Arial"/>
          <w:sz w:val="22"/>
          <w:szCs w:val="22"/>
        </w:rPr>
        <w:t>Should the unit you chose to rent also be designated as a “HOME” unit, to be eligible for residency, any household member who</w:t>
      </w:r>
      <w:r w:rsidR="006307D8" w:rsidRPr="006307D8">
        <w:rPr>
          <w:rFonts w:ascii="Arial" w:hAnsi="Arial" w:cs="Arial"/>
          <w:sz w:val="22"/>
          <w:szCs w:val="22"/>
        </w:rPr>
        <w:t xml:space="preserve"> </w:t>
      </w:r>
      <w:r w:rsidRPr="006307D8">
        <w:rPr>
          <w:rFonts w:ascii="Arial" w:hAnsi="Arial" w:cs="Arial"/>
          <w:sz w:val="22"/>
          <w:szCs w:val="22"/>
        </w:rPr>
        <w:t xml:space="preserve">attends an institute of higher learning (full or part time) must meet on the following qualifiers; </w:t>
      </w:r>
    </w:p>
    <w:p w14:paraId="51B6DA78" w14:textId="77777777" w:rsidR="006307D8" w:rsidRPr="006307D8" w:rsidRDefault="006C77E9" w:rsidP="006307D8">
      <w:pPr>
        <w:pStyle w:val="ListParagraph"/>
        <w:numPr>
          <w:ilvl w:val="0"/>
          <w:numId w:val="10"/>
        </w:numPr>
        <w:spacing w:after="100"/>
        <w:rPr>
          <w:rFonts w:ascii="Arial" w:hAnsi="Arial" w:cs="Arial"/>
          <w:sz w:val="22"/>
          <w:szCs w:val="22"/>
        </w:rPr>
      </w:pPr>
      <w:r w:rsidRPr="006307D8">
        <w:rPr>
          <w:rFonts w:ascii="Arial" w:hAnsi="Arial" w:cs="Arial"/>
          <w:sz w:val="22"/>
          <w:szCs w:val="22"/>
        </w:rPr>
        <w:t>a dependent of the household living with a parent,</w:t>
      </w:r>
    </w:p>
    <w:p w14:paraId="2563FC7F" w14:textId="77777777" w:rsidR="006307D8" w:rsidRPr="006307D8" w:rsidRDefault="006C77E9" w:rsidP="006307D8">
      <w:pPr>
        <w:pStyle w:val="ListParagraph"/>
        <w:numPr>
          <w:ilvl w:val="0"/>
          <w:numId w:val="10"/>
        </w:numPr>
        <w:spacing w:after="100"/>
        <w:rPr>
          <w:rFonts w:ascii="Arial" w:hAnsi="Arial" w:cs="Arial"/>
          <w:sz w:val="22"/>
          <w:szCs w:val="22"/>
        </w:rPr>
      </w:pPr>
      <w:r w:rsidRPr="006307D8">
        <w:rPr>
          <w:rFonts w:ascii="Arial" w:hAnsi="Arial" w:cs="Arial"/>
          <w:sz w:val="22"/>
          <w:szCs w:val="22"/>
        </w:rPr>
        <w:t xml:space="preserve">over age 23, a veteran, married, a parent with a dependent child(ren), </w:t>
      </w:r>
    </w:p>
    <w:p w14:paraId="5D223663" w14:textId="77777777" w:rsidR="006307D8" w:rsidRPr="006307D8" w:rsidRDefault="006C77E9" w:rsidP="006307D8">
      <w:pPr>
        <w:pStyle w:val="ListParagraph"/>
        <w:numPr>
          <w:ilvl w:val="0"/>
          <w:numId w:val="10"/>
        </w:numPr>
        <w:spacing w:after="100"/>
        <w:rPr>
          <w:rFonts w:ascii="Arial" w:hAnsi="Arial" w:cs="Arial"/>
          <w:sz w:val="22"/>
          <w:szCs w:val="22"/>
        </w:rPr>
      </w:pPr>
      <w:r w:rsidRPr="006307D8">
        <w:rPr>
          <w:rFonts w:ascii="Arial" w:hAnsi="Arial" w:cs="Arial"/>
          <w:sz w:val="22"/>
          <w:szCs w:val="22"/>
        </w:rPr>
        <w:t>a disabled individual who was receiving Section 8 assistance prior to November 30, 2005,</w:t>
      </w:r>
    </w:p>
    <w:p w14:paraId="012F97E2" w14:textId="77777777" w:rsidR="006307D8" w:rsidRPr="006307D8" w:rsidRDefault="006C77E9" w:rsidP="006307D8">
      <w:pPr>
        <w:pStyle w:val="ListParagraph"/>
        <w:numPr>
          <w:ilvl w:val="0"/>
          <w:numId w:val="10"/>
        </w:numPr>
        <w:spacing w:after="100"/>
        <w:rPr>
          <w:rFonts w:ascii="Arial" w:hAnsi="Arial" w:cs="Arial"/>
          <w:sz w:val="22"/>
          <w:szCs w:val="22"/>
        </w:rPr>
      </w:pPr>
      <w:r w:rsidRPr="006307D8">
        <w:rPr>
          <w:rFonts w:ascii="Arial" w:hAnsi="Arial" w:cs="Arial"/>
          <w:sz w:val="22"/>
          <w:szCs w:val="22"/>
        </w:rPr>
        <w:t xml:space="preserve">be independent from parent or have parent who are income-eligible. </w:t>
      </w:r>
    </w:p>
    <w:p w14:paraId="74C37A50" w14:textId="71FC168A" w:rsidR="006C77E9" w:rsidRDefault="006307D8" w:rsidP="006307D8">
      <w:pPr>
        <w:spacing w:after="100"/>
        <w:rPr>
          <w:rFonts w:ascii="Arial" w:hAnsi="Arial" w:cs="Arial"/>
          <w:sz w:val="22"/>
          <w:szCs w:val="22"/>
        </w:rPr>
      </w:pPr>
      <w:r w:rsidRPr="006307D8">
        <w:rPr>
          <w:rFonts w:ascii="Arial" w:hAnsi="Arial" w:cs="Arial"/>
          <w:sz w:val="22"/>
          <w:szCs w:val="22"/>
        </w:rPr>
        <w:t xml:space="preserve">NOTE: </w:t>
      </w:r>
      <w:r w:rsidR="006C77E9" w:rsidRPr="006307D8">
        <w:rPr>
          <w:rFonts w:ascii="Arial" w:hAnsi="Arial" w:cs="Arial"/>
          <w:sz w:val="22"/>
          <w:szCs w:val="22"/>
        </w:rPr>
        <w:t>If an in-place household becomes ineligible due to having any one member who is an ineligible student the household will be treated as “over-income” per the HOME rules.</w:t>
      </w:r>
    </w:p>
    <w:p w14:paraId="29DE9C18" w14:textId="0E2BB222" w:rsidR="006307D8" w:rsidRDefault="006307D8" w:rsidP="006307D8">
      <w:pPr>
        <w:spacing w:after="100"/>
        <w:rPr>
          <w:rFonts w:ascii="Arial" w:eastAsia="Times New Roman" w:hAnsi="Arial" w:cs="Arial"/>
          <w:b/>
          <w:i/>
          <w:color w:val="000000" w:themeColor="text1"/>
          <w:sz w:val="22"/>
          <w:szCs w:val="22"/>
          <w:u w:val="single"/>
        </w:rPr>
      </w:pPr>
      <w:r>
        <w:rPr>
          <w:rFonts w:ascii="Arial" w:eastAsia="Times New Roman" w:hAnsi="Arial" w:cs="Arial"/>
          <w:b/>
          <w:i/>
          <w:color w:val="000000" w:themeColor="text1"/>
          <w:sz w:val="22"/>
          <w:szCs w:val="22"/>
          <w:u w:val="single"/>
        </w:rPr>
        <w:t>Changes to Family Composition after Move-in</w:t>
      </w:r>
    </w:p>
    <w:p w14:paraId="1CB68336" w14:textId="0643494D" w:rsidR="006307D8" w:rsidRPr="006307D8" w:rsidRDefault="006307D8" w:rsidP="006307D8">
      <w:pPr>
        <w:spacing w:after="100"/>
        <w:rPr>
          <w:rFonts w:ascii="Arial" w:hAnsi="Arial" w:cs="Arial"/>
          <w:sz w:val="22"/>
          <w:szCs w:val="22"/>
        </w:rPr>
      </w:pPr>
      <w:r w:rsidRPr="006307D8">
        <w:rPr>
          <w:rFonts w:ascii="Arial" w:hAnsi="Arial" w:cs="Arial"/>
          <w:sz w:val="22"/>
          <w:szCs w:val="22"/>
        </w:rPr>
        <w:t xml:space="preserve">The family may request a change in unit size due to the addition or subtraction of a family member after 6 months of occupancy, but changes may not be allowed until after 12 month lease period if household income would change. Families must inform management within 30 days when a change occurs. The household must </w:t>
      </w:r>
      <w:r w:rsidRPr="006307D8">
        <w:rPr>
          <w:rFonts w:ascii="Arial" w:hAnsi="Arial" w:cs="Arial"/>
          <w:sz w:val="22"/>
          <w:szCs w:val="22"/>
        </w:rPr>
        <w:lastRenderedPageBreak/>
        <w:t>meet program eligibility requirements at the time the change of household composition occurs. Adult additions to the family must be approved for occupancy in accordance with the property’s resident selection criteria prior to occupying the unit. Adult members’ income must be considered in the maximum income limit and also must be added to the lease. Standard occupancy limits are no more than 2 per members per bedroom. Ask management about exceptions.</w:t>
      </w:r>
    </w:p>
    <w:p w14:paraId="5782C9C6" w14:textId="77777777" w:rsidR="00F53796" w:rsidRPr="00D663BB" w:rsidRDefault="00222AC0" w:rsidP="00222AC0">
      <w:pPr>
        <w:spacing w:after="100"/>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Unit Transfers</w:t>
      </w:r>
      <w:r w:rsidRPr="00D663BB">
        <w:rPr>
          <w:rFonts w:ascii="Arial" w:eastAsia="Times New Roman" w:hAnsi="Arial" w:cs="Arial"/>
          <w:i/>
          <w:color w:val="000000" w:themeColor="text1"/>
          <w:sz w:val="22"/>
          <w:szCs w:val="22"/>
        </w:rPr>
        <w:t xml:space="preserve"> </w:t>
      </w:r>
    </w:p>
    <w:p w14:paraId="55149F6A" w14:textId="77777777" w:rsidR="00D663BB" w:rsidRDefault="00222AC0" w:rsidP="00222AC0">
      <w:pPr>
        <w:spacing w:after="100"/>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 xml:space="preserve">Should a need arise for a current resident to transfer to </w:t>
      </w:r>
      <w:r w:rsidR="00F53796" w:rsidRPr="00222AC0">
        <w:rPr>
          <w:rFonts w:ascii="Arial" w:eastAsia="Times New Roman" w:hAnsi="Arial" w:cs="Arial"/>
          <w:color w:val="000000" w:themeColor="text1"/>
          <w:sz w:val="22"/>
          <w:szCs w:val="22"/>
        </w:rPr>
        <w:t>either</w:t>
      </w:r>
      <w:r w:rsidRPr="00222AC0">
        <w:rPr>
          <w:rFonts w:ascii="Arial" w:eastAsia="Times New Roman" w:hAnsi="Arial" w:cs="Arial"/>
          <w:color w:val="000000" w:themeColor="text1"/>
          <w:sz w:val="22"/>
          <w:szCs w:val="22"/>
        </w:rPr>
        <w:t xml:space="preserve"> a smaller or larger unit, "in-place" residents will be given priority over applicants on the Waiting List. Unit Transfers shall be strictly limited to the following situations:</w:t>
      </w:r>
    </w:p>
    <w:p w14:paraId="23C04F00" w14:textId="2A6AC26F" w:rsidR="00D663BB" w:rsidRDefault="00222AC0" w:rsidP="00D663BB">
      <w:pPr>
        <w:pStyle w:val="ListParagraph"/>
        <w:numPr>
          <w:ilvl w:val="0"/>
          <w:numId w:val="7"/>
        </w:numPr>
        <w:spacing w:after="100"/>
        <w:rPr>
          <w:rFonts w:ascii="Arial" w:eastAsia="Times New Roman" w:hAnsi="Arial" w:cs="Arial"/>
          <w:color w:val="000000" w:themeColor="text1"/>
          <w:sz w:val="22"/>
          <w:szCs w:val="22"/>
        </w:rPr>
      </w:pPr>
      <w:r w:rsidRPr="00D663BB">
        <w:rPr>
          <w:rFonts w:ascii="Arial" w:eastAsia="Times New Roman" w:hAnsi="Arial" w:cs="Arial"/>
          <w:b/>
          <w:i/>
          <w:color w:val="000000" w:themeColor="text1"/>
          <w:sz w:val="22"/>
          <w:szCs w:val="22"/>
        </w:rPr>
        <w:t>Reasonable Accommodation</w:t>
      </w:r>
      <w:r w:rsidR="00D663BB">
        <w:rPr>
          <w:rFonts w:ascii="Arial" w:eastAsia="Times New Roman" w:hAnsi="Arial" w:cs="Arial"/>
          <w:color w:val="000000" w:themeColor="text1"/>
          <w:sz w:val="22"/>
          <w:szCs w:val="22"/>
        </w:rPr>
        <w:t>:</w:t>
      </w:r>
      <w:r w:rsidRPr="00D663BB">
        <w:rPr>
          <w:rFonts w:ascii="Arial" w:eastAsia="Times New Roman" w:hAnsi="Arial" w:cs="Arial"/>
          <w:color w:val="000000" w:themeColor="text1"/>
          <w:sz w:val="22"/>
          <w:szCs w:val="22"/>
        </w:rPr>
        <w:t xml:space="preserve"> When approved as a reasonable accommodation that would allow</w:t>
      </w:r>
      <w:r w:rsidR="00D663BB">
        <w:rPr>
          <w:rFonts w:ascii="Arial" w:eastAsia="Times New Roman" w:hAnsi="Arial" w:cs="Arial"/>
          <w:color w:val="000000" w:themeColor="text1"/>
          <w:sz w:val="22"/>
          <w:szCs w:val="22"/>
        </w:rPr>
        <w:t xml:space="preserve"> </w:t>
      </w:r>
      <w:r w:rsidRPr="00D663BB">
        <w:rPr>
          <w:rFonts w:ascii="Arial" w:eastAsia="Times New Roman" w:hAnsi="Arial" w:cs="Arial"/>
          <w:color w:val="000000" w:themeColor="text1"/>
          <w:sz w:val="22"/>
          <w:szCs w:val="22"/>
        </w:rPr>
        <w:t xml:space="preserve">the tenant's full use of the property based </w:t>
      </w:r>
      <w:r w:rsidR="00D663BB">
        <w:rPr>
          <w:rFonts w:ascii="Arial" w:eastAsia="Times New Roman" w:hAnsi="Arial" w:cs="Arial"/>
          <w:color w:val="000000" w:themeColor="text1"/>
          <w:sz w:val="22"/>
          <w:szCs w:val="22"/>
        </w:rPr>
        <w:t>on a disability related need.</w:t>
      </w:r>
    </w:p>
    <w:p w14:paraId="3C0C8EC8" w14:textId="77777777" w:rsidR="00D663BB" w:rsidRDefault="00222AC0" w:rsidP="00D663BB">
      <w:pPr>
        <w:pStyle w:val="ListParagraph"/>
        <w:numPr>
          <w:ilvl w:val="0"/>
          <w:numId w:val="7"/>
        </w:numPr>
        <w:spacing w:after="100"/>
        <w:rPr>
          <w:rFonts w:ascii="Arial" w:eastAsia="Times New Roman" w:hAnsi="Arial" w:cs="Arial"/>
          <w:color w:val="000000" w:themeColor="text1"/>
          <w:sz w:val="22"/>
          <w:szCs w:val="22"/>
        </w:rPr>
      </w:pPr>
      <w:r w:rsidRPr="00D663BB">
        <w:rPr>
          <w:rFonts w:ascii="Arial" w:eastAsia="Times New Roman" w:hAnsi="Arial" w:cs="Arial"/>
          <w:b/>
          <w:color w:val="000000" w:themeColor="text1"/>
          <w:sz w:val="22"/>
          <w:szCs w:val="22"/>
        </w:rPr>
        <w:t>Over/Underutilization of unit</w:t>
      </w:r>
      <w:r w:rsidRPr="00D663BB">
        <w:rPr>
          <w:rFonts w:ascii="Arial" w:eastAsia="Times New Roman" w:hAnsi="Arial" w:cs="Arial"/>
          <w:color w:val="000000" w:themeColor="text1"/>
          <w:sz w:val="22"/>
          <w:szCs w:val="22"/>
        </w:rPr>
        <w:t>: When a change in household composition causes the current unit</w:t>
      </w:r>
      <w:r w:rsidR="00D663BB">
        <w:rPr>
          <w:rFonts w:ascii="Arial" w:eastAsia="Times New Roman" w:hAnsi="Arial" w:cs="Arial"/>
          <w:color w:val="000000" w:themeColor="text1"/>
          <w:sz w:val="22"/>
          <w:szCs w:val="22"/>
        </w:rPr>
        <w:t xml:space="preserve"> </w:t>
      </w:r>
      <w:r w:rsidRPr="00D663BB">
        <w:rPr>
          <w:rFonts w:ascii="Arial" w:eastAsia="Times New Roman" w:hAnsi="Arial" w:cs="Arial"/>
          <w:color w:val="000000" w:themeColor="text1"/>
          <w:sz w:val="22"/>
          <w:szCs w:val="22"/>
        </w:rPr>
        <w:t>to be over or underutilized. For example, if a household size changes a unit transfer to a larger or smaller unit may be requested by the resident or may be required to Management. Per the occupancy standards above, a minimum of one person per bedroom and a maximum of two</w:t>
      </w:r>
      <w:r w:rsidR="00D663BB" w:rsidRPr="00D663BB">
        <w:rPr>
          <w:rFonts w:ascii="Arial" w:eastAsia="Times New Roman" w:hAnsi="Arial" w:cs="Arial"/>
          <w:color w:val="000000" w:themeColor="text1"/>
          <w:sz w:val="22"/>
          <w:szCs w:val="22"/>
        </w:rPr>
        <w:t xml:space="preserve"> </w:t>
      </w:r>
      <w:r w:rsidRPr="00D663BB">
        <w:rPr>
          <w:rFonts w:ascii="Arial" w:eastAsia="Times New Roman" w:hAnsi="Arial" w:cs="Arial"/>
          <w:color w:val="000000" w:themeColor="text1"/>
          <w:sz w:val="22"/>
          <w:szCs w:val="22"/>
        </w:rPr>
        <w:t>perso</w:t>
      </w:r>
      <w:r w:rsidR="00D663BB" w:rsidRPr="00D663BB">
        <w:rPr>
          <w:rFonts w:ascii="Arial" w:eastAsia="Times New Roman" w:hAnsi="Arial" w:cs="Arial"/>
          <w:color w:val="000000" w:themeColor="text1"/>
          <w:sz w:val="22"/>
          <w:szCs w:val="22"/>
        </w:rPr>
        <w:t>ns per bedroom are required.</w:t>
      </w:r>
    </w:p>
    <w:p w14:paraId="40E7A7F3" w14:textId="77777777" w:rsidR="00D663BB" w:rsidRDefault="00222AC0" w:rsidP="00D663BB">
      <w:pPr>
        <w:pStyle w:val="ListParagraph"/>
        <w:numPr>
          <w:ilvl w:val="0"/>
          <w:numId w:val="7"/>
        </w:numPr>
        <w:spacing w:after="100"/>
        <w:rPr>
          <w:rFonts w:ascii="Arial" w:eastAsia="Times New Roman" w:hAnsi="Arial" w:cs="Arial"/>
          <w:color w:val="000000" w:themeColor="text1"/>
          <w:sz w:val="22"/>
          <w:szCs w:val="22"/>
        </w:rPr>
      </w:pPr>
      <w:r w:rsidRPr="00D663BB">
        <w:rPr>
          <w:rFonts w:ascii="Arial" w:eastAsia="Times New Roman" w:hAnsi="Arial" w:cs="Arial"/>
          <w:b/>
          <w:i/>
          <w:color w:val="000000" w:themeColor="text1"/>
          <w:sz w:val="22"/>
          <w:szCs w:val="22"/>
        </w:rPr>
        <w:t>Need for Accessible Unit</w:t>
      </w:r>
      <w:r w:rsidRPr="00D663BB">
        <w:rPr>
          <w:rFonts w:ascii="Arial" w:eastAsia="Times New Roman" w:hAnsi="Arial" w:cs="Arial"/>
          <w:color w:val="000000" w:themeColor="text1"/>
          <w:sz w:val="22"/>
          <w:szCs w:val="22"/>
        </w:rPr>
        <w:t>: When a resident needs a unit with handicap-accessible amenities and</w:t>
      </w:r>
      <w:r w:rsidR="00D663BB">
        <w:rPr>
          <w:rFonts w:ascii="Arial" w:eastAsia="Times New Roman" w:hAnsi="Arial" w:cs="Arial"/>
          <w:color w:val="000000" w:themeColor="text1"/>
          <w:sz w:val="22"/>
          <w:szCs w:val="22"/>
        </w:rPr>
        <w:t xml:space="preserve"> fixtures.</w:t>
      </w:r>
    </w:p>
    <w:p w14:paraId="01998466" w14:textId="77777777" w:rsidR="00D663BB" w:rsidRDefault="00222AC0" w:rsidP="00D663BB">
      <w:pPr>
        <w:pStyle w:val="ListParagraph"/>
        <w:numPr>
          <w:ilvl w:val="0"/>
          <w:numId w:val="7"/>
        </w:numPr>
        <w:spacing w:after="100"/>
        <w:rPr>
          <w:rFonts w:ascii="Arial" w:eastAsia="Times New Roman" w:hAnsi="Arial" w:cs="Arial"/>
          <w:color w:val="000000" w:themeColor="text1"/>
          <w:sz w:val="22"/>
          <w:szCs w:val="22"/>
        </w:rPr>
      </w:pPr>
      <w:r w:rsidRPr="00D663BB">
        <w:rPr>
          <w:rFonts w:ascii="Arial" w:eastAsia="Times New Roman" w:hAnsi="Arial" w:cs="Arial"/>
          <w:b/>
          <w:i/>
          <w:color w:val="000000" w:themeColor="text1"/>
          <w:sz w:val="22"/>
          <w:szCs w:val="22"/>
        </w:rPr>
        <w:t>Medical Necessity</w:t>
      </w:r>
      <w:r w:rsidRPr="00D663BB">
        <w:rPr>
          <w:rFonts w:ascii="Arial" w:eastAsia="Times New Roman" w:hAnsi="Arial" w:cs="Arial"/>
          <w:color w:val="000000" w:themeColor="text1"/>
          <w:sz w:val="22"/>
          <w:szCs w:val="22"/>
        </w:rPr>
        <w:t>: Medical r</w:t>
      </w:r>
      <w:r w:rsidR="00D663BB">
        <w:rPr>
          <w:rFonts w:ascii="Arial" w:eastAsia="Times New Roman" w:hAnsi="Arial" w:cs="Arial"/>
          <w:color w:val="000000" w:themeColor="text1"/>
          <w:sz w:val="22"/>
          <w:szCs w:val="22"/>
        </w:rPr>
        <w:t>eason certified by a doctor.</w:t>
      </w:r>
    </w:p>
    <w:p w14:paraId="0646406A" w14:textId="77777777" w:rsidR="00D663BB" w:rsidRDefault="00222AC0" w:rsidP="00D663BB">
      <w:pPr>
        <w:pStyle w:val="ListParagraph"/>
        <w:numPr>
          <w:ilvl w:val="0"/>
          <w:numId w:val="7"/>
        </w:numPr>
        <w:spacing w:after="100"/>
        <w:rPr>
          <w:rFonts w:ascii="Arial" w:eastAsia="Times New Roman" w:hAnsi="Arial" w:cs="Arial"/>
          <w:color w:val="000000" w:themeColor="text1"/>
          <w:sz w:val="22"/>
          <w:szCs w:val="22"/>
        </w:rPr>
      </w:pPr>
      <w:r w:rsidRPr="00D663BB">
        <w:rPr>
          <w:rFonts w:ascii="Arial" w:eastAsia="Times New Roman" w:hAnsi="Arial" w:cs="Arial"/>
          <w:b/>
          <w:i/>
          <w:color w:val="000000" w:themeColor="text1"/>
          <w:sz w:val="22"/>
          <w:szCs w:val="22"/>
        </w:rPr>
        <w:t>Deeper Subsidy:</w:t>
      </w:r>
      <w:r w:rsidRPr="00D663BB">
        <w:rPr>
          <w:rFonts w:ascii="Arial" w:eastAsia="Times New Roman" w:hAnsi="Arial" w:cs="Arial"/>
          <w:color w:val="000000" w:themeColor="text1"/>
          <w:sz w:val="22"/>
          <w:szCs w:val="22"/>
        </w:rPr>
        <w:t xml:space="preserve"> The availability of a deeper subsidy which would decrease resident rent</w:t>
      </w:r>
      <w:r w:rsidR="00D663BB">
        <w:rPr>
          <w:rFonts w:ascii="Arial" w:eastAsia="Times New Roman" w:hAnsi="Arial" w:cs="Arial"/>
          <w:color w:val="000000" w:themeColor="text1"/>
          <w:sz w:val="22"/>
          <w:szCs w:val="22"/>
        </w:rPr>
        <w:t xml:space="preserve"> </w:t>
      </w:r>
      <w:r w:rsidRPr="00D663BB">
        <w:rPr>
          <w:rFonts w:ascii="Arial" w:eastAsia="Times New Roman" w:hAnsi="Arial" w:cs="Arial"/>
          <w:color w:val="000000" w:themeColor="text1"/>
          <w:sz w:val="22"/>
          <w:szCs w:val="22"/>
        </w:rPr>
        <w:t>responsibility</w:t>
      </w:r>
      <w:r w:rsidR="00D663BB">
        <w:rPr>
          <w:rFonts w:ascii="Arial" w:eastAsia="Times New Roman" w:hAnsi="Arial" w:cs="Arial"/>
          <w:color w:val="000000" w:themeColor="text1"/>
          <w:sz w:val="22"/>
          <w:szCs w:val="22"/>
        </w:rPr>
        <w:t>.</w:t>
      </w:r>
    </w:p>
    <w:p w14:paraId="615E16E7" w14:textId="77777777" w:rsidR="00D663BB" w:rsidRDefault="00D663BB" w:rsidP="00D663BB">
      <w:pPr>
        <w:spacing w:after="100"/>
        <w:rPr>
          <w:rFonts w:ascii="Arial" w:eastAsia="Times New Roman" w:hAnsi="Arial" w:cs="Arial"/>
          <w:color w:val="000000" w:themeColor="text1"/>
          <w:sz w:val="22"/>
          <w:szCs w:val="22"/>
        </w:rPr>
      </w:pPr>
    </w:p>
    <w:p w14:paraId="017BE103" w14:textId="625D9A99" w:rsidR="00222AC0" w:rsidRPr="00D663BB" w:rsidRDefault="00222AC0" w:rsidP="00D663BB">
      <w:pPr>
        <w:spacing w:after="100"/>
        <w:rPr>
          <w:rFonts w:ascii="Arial" w:eastAsia="Times New Roman" w:hAnsi="Arial" w:cs="Arial"/>
          <w:color w:val="000000" w:themeColor="text1"/>
          <w:sz w:val="22"/>
          <w:szCs w:val="22"/>
        </w:rPr>
      </w:pPr>
      <w:r w:rsidRPr="00D663BB">
        <w:rPr>
          <w:rFonts w:ascii="Arial" w:eastAsia="Times New Roman" w:hAnsi="Arial" w:cs="Arial"/>
          <w:color w:val="000000" w:themeColor="text1"/>
          <w:sz w:val="22"/>
          <w:szCs w:val="22"/>
        </w:rPr>
        <w:t>Unit transfer approval may be granted once all required documentation is received. I</w:t>
      </w:r>
      <w:r w:rsidR="00D663BB">
        <w:rPr>
          <w:rFonts w:ascii="Arial" w:eastAsia="Times New Roman" w:hAnsi="Arial" w:cs="Arial"/>
          <w:color w:val="000000" w:themeColor="text1"/>
          <w:sz w:val="22"/>
          <w:szCs w:val="22"/>
        </w:rPr>
        <w:t>f</w:t>
      </w:r>
      <w:r w:rsidRPr="00D663BB">
        <w:rPr>
          <w:rFonts w:ascii="Arial" w:eastAsia="Times New Roman" w:hAnsi="Arial" w:cs="Arial"/>
          <w:color w:val="000000" w:themeColor="text1"/>
          <w:sz w:val="22"/>
          <w:szCs w:val="22"/>
        </w:rPr>
        <w:t xml:space="preserve"> written documentation of the need to accommodation is required, </w:t>
      </w:r>
      <w:r w:rsidR="00D663BB">
        <w:rPr>
          <w:rFonts w:ascii="Arial" w:eastAsia="Times New Roman" w:hAnsi="Arial" w:cs="Arial"/>
          <w:color w:val="000000" w:themeColor="text1"/>
          <w:sz w:val="22"/>
          <w:szCs w:val="22"/>
        </w:rPr>
        <w:t>BlueLine Property Management</w:t>
      </w:r>
      <w:r w:rsidRPr="00D663BB">
        <w:rPr>
          <w:rFonts w:ascii="Arial" w:eastAsia="Times New Roman" w:hAnsi="Arial" w:cs="Arial"/>
          <w:color w:val="000000" w:themeColor="text1"/>
          <w:sz w:val="22"/>
          <w:szCs w:val="22"/>
        </w:rPr>
        <w:t xml:space="preserve"> will inform the resident and request the resident's authorization for verification.</w:t>
      </w:r>
    </w:p>
    <w:p w14:paraId="0873D2B6" w14:textId="3042A456" w:rsidR="00222AC0" w:rsidRDefault="00222AC0" w:rsidP="00222AC0">
      <w:pPr>
        <w:spacing w:after="100"/>
        <w:jc w:val="both"/>
        <w:rPr>
          <w:rFonts w:ascii="Arial" w:eastAsia="Times New Roman" w:hAnsi="Arial" w:cs="Arial"/>
          <w:color w:val="000000" w:themeColor="text1"/>
          <w:sz w:val="22"/>
          <w:szCs w:val="22"/>
        </w:rPr>
      </w:pPr>
      <w:r w:rsidRPr="00222AC0">
        <w:rPr>
          <w:rFonts w:ascii="Arial" w:eastAsia="Times New Roman" w:hAnsi="Arial" w:cs="Arial"/>
          <w:color w:val="000000" w:themeColor="text1"/>
          <w:sz w:val="22"/>
          <w:szCs w:val="22"/>
        </w:rPr>
        <w:t>Residents transferring must be current with rent</w:t>
      </w:r>
      <w:r w:rsidR="009E67C0">
        <w:rPr>
          <w:rFonts w:ascii="Arial" w:eastAsia="Times New Roman" w:hAnsi="Arial" w:cs="Arial"/>
          <w:color w:val="000000" w:themeColor="text1"/>
          <w:sz w:val="22"/>
          <w:szCs w:val="22"/>
        </w:rPr>
        <w:t xml:space="preserve">, pass a </w:t>
      </w:r>
      <w:r w:rsidR="002E60BA">
        <w:rPr>
          <w:rFonts w:ascii="Arial" w:eastAsia="Times New Roman" w:hAnsi="Arial" w:cs="Arial"/>
          <w:color w:val="000000" w:themeColor="text1"/>
          <w:sz w:val="22"/>
          <w:szCs w:val="22"/>
        </w:rPr>
        <w:t>unit inspection</w:t>
      </w:r>
      <w:r w:rsidRPr="00222AC0">
        <w:rPr>
          <w:rFonts w:ascii="Arial" w:eastAsia="Times New Roman" w:hAnsi="Arial" w:cs="Arial"/>
          <w:color w:val="000000" w:themeColor="text1"/>
          <w:sz w:val="22"/>
          <w:szCs w:val="22"/>
        </w:rPr>
        <w:t xml:space="preserve"> and have no unresolved lease violation notices. </w:t>
      </w:r>
      <w:r w:rsidR="00D663BB">
        <w:rPr>
          <w:rFonts w:ascii="Arial" w:eastAsia="Times New Roman" w:hAnsi="Arial" w:cs="Arial"/>
          <w:color w:val="000000" w:themeColor="text1"/>
          <w:sz w:val="22"/>
          <w:szCs w:val="22"/>
        </w:rPr>
        <w:t>BlueLine Property Management</w:t>
      </w:r>
      <w:r w:rsidRPr="00222AC0">
        <w:rPr>
          <w:rFonts w:ascii="Arial" w:eastAsia="Times New Roman" w:hAnsi="Arial" w:cs="Arial"/>
          <w:color w:val="000000" w:themeColor="text1"/>
          <w:sz w:val="22"/>
          <w:szCs w:val="22"/>
        </w:rPr>
        <w:t xml:space="preserve"> has elected to establish a policy of requiring a new security deposit be paid to the new unit. Any excessive damages deemed beyond normal wear and tear or caused by abuse, neglect or willful destruction shall be billed to the resident in the form of an itemized list of damages.</w:t>
      </w:r>
    </w:p>
    <w:p w14:paraId="51857B4A" w14:textId="77777777" w:rsidR="006307D8" w:rsidRDefault="006307D8" w:rsidP="00222AC0">
      <w:pPr>
        <w:spacing w:after="100"/>
        <w:jc w:val="both"/>
        <w:rPr>
          <w:rFonts w:ascii="Arial" w:eastAsia="Times New Roman" w:hAnsi="Arial" w:cs="Arial"/>
          <w:b/>
          <w:i/>
          <w:color w:val="000000" w:themeColor="text1"/>
          <w:sz w:val="22"/>
          <w:szCs w:val="22"/>
          <w:u w:val="single"/>
        </w:rPr>
      </w:pPr>
      <w:r w:rsidRPr="00D663BB">
        <w:rPr>
          <w:rFonts w:ascii="Arial" w:eastAsia="Times New Roman" w:hAnsi="Arial" w:cs="Arial"/>
          <w:b/>
          <w:i/>
          <w:color w:val="000000" w:themeColor="text1"/>
          <w:sz w:val="22"/>
          <w:szCs w:val="22"/>
          <w:u w:val="single"/>
        </w:rPr>
        <w:t>S</w:t>
      </w:r>
      <w:r>
        <w:rPr>
          <w:rFonts w:ascii="Arial" w:eastAsia="Times New Roman" w:hAnsi="Arial" w:cs="Arial"/>
          <w:b/>
          <w:i/>
          <w:color w:val="000000" w:themeColor="text1"/>
          <w:sz w:val="22"/>
          <w:szCs w:val="22"/>
          <w:u w:val="single"/>
        </w:rPr>
        <w:t>ecurity Deposit</w:t>
      </w:r>
    </w:p>
    <w:p w14:paraId="07A7513C" w14:textId="78B37151" w:rsidR="006307D8" w:rsidRPr="006307D8" w:rsidRDefault="006307D8" w:rsidP="00222AC0">
      <w:pPr>
        <w:spacing w:after="100"/>
        <w:jc w:val="both"/>
        <w:rPr>
          <w:rFonts w:ascii="Arial" w:eastAsia="Times New Roman" w:hAnsi="Arial" w:cs="Arial"/>
          <w:color w:val="000000" w:themeColor="text1"/>
          <w:sz w:val="22"/>
          <w:szCs w:val="22"/>
        </w:rPr>
      </w:pPr>
      <w:r w:rsidRPr="006307D8">
        <w:rPr>
          <w:rFonts w:ascii="Arial" w:hAnsi="Arial" w:cs="Arial"/>
          <w:sz w:val="22"/>
          <w:szCs w:val="22"/>
        </w:rPr>
        <w:t>The required security deposit for each unit is established at move-in and will be no less than one month’s rent. When a tenant transfers to a new unit, management will charge a new security deposit and refund the balance of the deposit for the old unit</w:t>
      </w:r>
      <w:r>
        <w:rPr>
          <w:rFonts w:ascii="Arial" w:hAnsi="Arial" w:cs="Arial"/>
          <w:sz w:val="22"/>
          <w:szCs w:val="22"/>
        </w:rPr>
        <w:t>.</w:t>
      </w:r>
    </w:p>
    <w:p w14:paraId="13401159" w14:textId="77777777" w:rsidR="00D663BB" w:rsidRPr="00D663BB" w:rsidRDefault="00222AC0" w:rsidP="00222AC0">
      <w:pPr>
        <w:spacing w:after="100"/>
        <w:ind w:firstLine="19"/>
        <w:rPr>
          <w:rFonts w:ascii="Arial" w:eastAsia="Times New Roman" w:hAnsi="Arial" w:cs="Arial"/>
          <w:i/>
          <w:color w:val="000000" w:themeColor="text1"/>
          <w:sz w:val="22"/>
          <w:szCs w:val="22"/>
        </w:rPr>
      </w:pPr>
      <w:r w:rsidRPr="00D663BB">
        <w:rPr>
          <w:rFonts w:ascii="Arial" w:eastAsia="Times New Roman" w:hAnsi="Arial" w:cs="Arial"/>
          <w:b/>
          <w:i/>
          <w:color w:val="000000" w:themeColor="text1"/>
          <w:sz w:val="22"/>
          <w:szCs w:val="22"/>
          <w:u w:val="single"/>
        </w:rPr>
        <w:t>Modification of the Resident Selection Plan</w:t>
      </w:r>
      <w:r w:rsidRPr="00D663BB">
        <w:rPr>
          <w:rFonts w:ascii="Arial" w:eastAsia="Times New Roman" w:hAnsi="Arial" w:cs="Arial"/>
          <w:i/>
          <w:color w:val="000000" w:themeColor="text1"/>
          <w:sz w:val="22"/>
          <w:szCs w:val="22"/>
        </w:rPr>
        <w:t xml:space="preserve"> </w:t>
      </w:r>
    </w:p>
    <w:p w14:paraId="4E32C6D8" w14:textId="77EF9002" w:rsidR="0091479D" w:rsidRDefault="00222AC0" w:rsidP="006307D8">
      <w:pPr>
        <w:spacing w:after="100"/>
        <w:ind w:firstLine="19"/>
      </w:pPr>
      <w:r w:rsidRPr="00D663BB">
        <w:rPr>
          <w:rFonts w:ascii="Arial" w:eastAsia="Times New Roman" w:hAnsi="Arial" w:cs="Arial"/>
          <w:color w:val="000000" w:themeColor="text1"/>
          <w:sz w:val="22"/>
          <w:szCs w:val="22"/>
        </w:rPr>
        <w:t>Management</w:t>
      </w:r>
      <w:r w:rsidRPr="00222AC0">
        <w:rPr>
          <w:rFonts w:ascii="Arial" w:eastAsia="Times New Roman" w:hAnsi="Arial" w:cs="Arial"/>
          <w:color w:val="000000" w:themeColor="text1"/>
          <w:sz w:val="22"/>
          <w:szCs w:val="22"/>
        </w:rPr>
        <w:t xml:space="preserve"> will review this Resident Selection Plan at least once annually to ensure that it reflects current operating practices, program priorities, and </w:t>
      </w:r>
      <w:r w:rsidR="006307D8">
        <w:rPr>
          <w:rFonts w:ascii="Arial" w:eastAsia="Times New Roman" w:hAnsi="Arial" w:cs="Arial"/>
          <w:color w:val="000000" w:themeColor="text1"/>
          <w:sz w:val="22"/>
          <w:szCs w:val="22"/>
        </w:rPr>
        <w:t xml:space="preserve">LIHTC and </w:t>
      </w:r>
      <w:r w:rsidRPr="00222AC0">
        <w:rPr>
          <w:rFonts w:ascii="Arial" w:eastAsia="Times New Roman" w:hAnsi="Arial" w:cs="Arial"/>
          <w:color w:val="000000" w:themeColor="text1"/>
          <w:sz w:val="22"/>
          <w:szCs w:val="22"/>
        </w:rPr>
        <w:t>HUD requirements. If the property and/or HUD'S Contract Administrator feel the plan needs to be modified in any way, a notice of such modification will be provided by mail to applicants on the waiting list, and by public forum to other interested persons who may have an interest in becoming applicants.</w:t>
      </w:r>
    </w:p>
    <w:sectPr w:rsidR="0091479D" w:rsidSect="00581AF4">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95CA" w14:textId="77777777" w:rsidR="005C7C02" w:rsidRDefault="005C7C02" w:rsidP="00992D3D">
      <w:r>
        <w:separator/>
      </w:r>
    </w:p>
  </w:endnote>
  <w:endnote w:type="continuationSeparator" w:id="0">
    <w:p w14:paraId="6382656E" w14:textId="77777777" w:rsidR="005C7C02" w:rsidRDefault="005C7C02" w:rsidP="0099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6421721"/>
      <w:docPartObj>
        <w:docPartGallery w:val="Page Numbers (Bottom of Page)"/>
        <w:docPartUnique/>
      </w:docPartObj>
    </w:sdtPr>
    <w:sdtEndPr>
      <w:rPr>
        <w:rStyle w:val="PageNumber"/>
      </w:rPr>
    </w:sdtEndPr>
    <w:sdtContent>
      <w:p w14:paraId="49607A26" w14:textId="0EF6CD60" w:rsidR="00992D3D" w:rsidRDefault="00992D3D" w:rsidP="001E5D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3E8A3" w14:textId="77777777" w:rsidR="00992D3D" w:rsidRDefault="00992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412668"/>
      <w:docPartObj>
        <w:docPartGallery w:val="Page Numbers (Bottom of Page)"/>
        <w:docPartUnique/>
      </w:docPartObj>
    </w:sdtPr>
    <w:sdtEndPr>
      <w:rPr>
        <w:rStyle w:val="PageNumber"/>
      </w:rPr>
    </w:sdtEndPr>
    <w:sdtContent>
      <w:p w14:paraId="16DFC212" w14:textId="12622ABB" w:rsidR="00992D3D" w:rsidRDefault="00992D3D" w:rsidP="001E5D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7E6BE2B" w14:textId="4110A412" w:rsidR="00992D3D" w:rsidRDefault="71D425E7">
    <w:pPr>
      <w:pStyle w:val="Footer"/>
    </w:pPr>
    <w:r>
      <w:rPr>
        <w:color w:val="595959" w:themeColor="text1" w:themeTint="A6"/>
        <w:sz w:val="18"/>
        <w:szCs w:val="18"/>
      </w:rPr>
      <w:t xml:space="preserve">WY LIHTC/HOME Resident Selection Plan </w:t>
    </w:r>
    <w:r w:rsidR="000A5C53">
      <w:rPr>
        <w:color w:val="595959" w:themeColor="text1" w:themeTint="A6"/>
        <w:sz w:val="18"/>
        <w:szCs w:val="18"/>
      </w:rPr>
      <w:tab/>
    </w:r>
    <w:r>
      <w:rPr>
        <w:color w:val="595959" w:themeColor="text1" w:themeTint="A6"/>
        <w:sz w:val="18"/>
        <w:szCs w:val="18"/>
      </w:rPr>
      <w:t xml:space="preserve">                                        </w:t>
    </w:r>
    <w:r w:rsidR="00BA5045">
      <w:rPr>
        <w:color w:val="595959" w:themeColor="text1" w:themeTint="A6"/>
        <w:sz w:val="18"/>
        <w:szCs w:val="18"/>
      </w:rPr>
      <w:t>updated 5/5</w:t>
    </w:r>
    <w:r>
      <w:rPr>
        <w:color w:val="595959" w:themeColor="text1" w:themeTint="A6"/>
        <w:sz w:val="18"/>
        <w:szCs w:val="18"/>
      </w:rPr>
      <w:t>/2021</w:t>
    </w:r>
    <w:r w:rsidR="00992D3D" w:rsidRPr="00992D3D">
      <w:rPr>
        <w:color w:val="595959" w:themeColor="text1" w:themeTint="A6"/>
        <w:sz w:val="18"/>
        <w:szCs w:val="18"/>
      </w:rPr>
      <w:ptab w:relativeTo="margin" w:alignment="right" w:leader="none"/>
    </w:r>
    <w:r w:rsidR="00992D3D">
      <w:rPr>
        <w:noProof/>
      </w:rPr>
      <w:drawing>
        <wp:inline distT="0" distB="0" distL="0" distR="0" wp14:anchorId="291A5D3A" wp14:editId="6DFFB70E">
          <wp:extent cx="702310" cy="35217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ual-Housing-Opportunity-Accessibility-Logo.png"/>
                  <pic:cNvPicPr/>
                </pic:nvPicPr>
                <pic:blipFill>
                  <a:blip r:embed="rId1">
                    <a:extLst>
                      <a:ext uri="{28A0092B-C50C-407E-A947-70E740481C1C}">
                        <a14:useLocalDpi xmlns:a14="http://schemas.microsoft.com/office/drawing/2010/main" val="0"/>
                      </a:ext>
                    </a:extLst>
                  </a:blip>
                  <a:stretch>
                    <a:fillRect/>
                  </a:stretch>
                </pic:blipFill>
                <pic:spPr>
                  <a:xfrm>
                    <a:off x="0" y="0"/>
                    <a:ext cx="724033" cy="36306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CE37" w14:textId="77777777" w:rsidR="00BA5045" w:rsidRDefault="00BA5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0637" w14:textId="77777777" w:rsidR="005C7C02" w:rsidRDefault="005C7C02" w:rsidP="00992D3D">
      <w:r>
        <w:separator/>
      </w:r>
    </w:p>
  </w:footnote>
  <w:footnote w:type="continuationSeparator" w:id="0">
    <w:p w14:paraId="0B95E6DD" w14:textId="77777777" w:rsidR="005C7C02" w:rsidRDefault="005C7C02" w:rsidP="0099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F8A3" w14:textId="77777777" w:rsidR="00BA5045" w:rsidRDefault="00BA50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8302" w14:textId="22072410" w:rsidR="00992D3D" w:rsidRDefault="71D425E7" w:rsidP="000A5C53">
    <w:pPr>
      <w:pStyle w:val="Header"/>
      <w:jc w:val="right"/>
    </w:pPr>
    <w:r>
      <w:rPr>
        <w:noProof/>
      </w:rPr>
      <w:drawing>
        <wp:inline distT="0" distB="0" distL="0" distR="0" wp14:anchorId="19037254" wp14:editId="0F45F548">
          <wp:extent cx="1483885" cy="6381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83885" cy="638175"/>
                  </a:xfrm>
                  <a:prstGeom prst="rect">
                    <a:avLst/>
                  </a:prstGeom>
                </pic:spPr>
              </pic:pic>
            </a:graphicData>
          </a:graphic>
        </wp:inline>
      </w:drawing>
    </w:r>
  </w:p>
  <w:p w14:paraId="1D987EDB" w14:textId="77777777" w:rsidR="00992D3D" w:rsidRDefault="00992D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14AC" w14:textId="77777777" w:rsidR="00BA5045" w:rsidRDefault="00BA5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F99"/>
    <w:multiLevelType w:val="hybridMultilevel"/>
    <w:tmpl w:val="1C2C0A88"/>
    <w:lvl w:ilvl="0" w:tplc="6E44C25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345EF7"/>
    <w:multiLevelType w:val="hybridMultilevel"/>
    <w:tmpl w:val="DD384C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075B8"/>
    <w:multiLevelType w:val="hybridMultilevel"/>
    <w:tmpl w:val="987A12BE"/>
    <w:lvl w:ilvl="0" w:tplc="6E44C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756208"/>
    <w:multiLevelType w:val="hybridMultilevel"/>
    <w:tmpl w:val="46CC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303FD"/>
    <w:multiLevelType w:val="hybridMultilevel"/>
    <w:tmpl w:val="F5CE87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E7FCE"/>
    <w:multiLevelType w:val="hybridMultilevel"/>
    <w:tmpl w:val="C7ACB1CA"/>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64BC5C2C"/>
    <w:multiLevelType w:val="hybridMultilevel"/>
    <w:tmpl w:val="949A5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74FDD"/>
    <w:multiLevelType w:val="hybridMultilevel"/>
    <w:tmpl w:val="2D6A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535DC"/>
    <w:multiLevelType w:val="hybridMultilevel"/>
    <w:tmpl w:val="F7FC0F9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7F966220"/>
    <w:multiLevelType w:val="hybridMultilevel"/>
    <w:tmpl w:val="1BD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9"/>
  </w:num>
  <w:num w:numId="6">
    <w:abstractNumId w:val="8"/>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3D"/>
    <w:rsid w:val="000534FE"/>
    <w:rsid w:val="00075AB4"/>
    <w:rsid w:val="00097FAA"/>
    <w:rsid w:val="000A5C53"/>
    <w:rsid w:val="000F5FCF"/>
    <w:rsid w:val="00111C66"/>
    <w:rsid w:val="00132E9C"/>
    <w:rsid w:val="00183B56"/>
    <w:rsid w:val="001A7F03"/>
    <w:rsid w:val="00216E58"/>
    <w:rsid w:val="00221CF4"/>
    <w:rsid w:val="00222AC0"/>
    <w:rsid w:val="002E60BA"/>
    <w:rsid w:val="003E298C"/>
    <w:rsid w:val="0044308B"/>
    <w:rsid w:val="00457B72"/>
    <w:rsid w:val="004B39F8"/>
    <w:rsid w:val="00581AF4"/>
    <w:rsid w:val="005C7C02"/>
    <w:rsid w:val="006307D8"/>
    <w:rsid w:val="00695090"/>
    <w:rsid w:val="006C77E9"/>
    <w:rsid w:val="008A254F"/>
    <w:rsid w:val="008B187E"/>
    <w:rsid w:val="0091479D"/>
    <w:rsid w:val="00992D3D"/>
    <w:rsid w:val="009C20F5"/>
    <w:rsid w:val="009E67C0"/>
    <w:rsid w:val="00AB6E9F"/>
    <w:rsid w:val="00AF68DE"/>
    <w:rsid w:val="00B11749"/>
    <w:rsid w:val="00B81404"/>
    <w:rsid w:val="00BA5045"/>
    <w:rsid w:val="00BA5257"/>
    <w:rsid w:val="00BB58F3"/>
    <w:rsid w:val="00BD3780"/>
    <w:rsid w:val="00C64B99"/>
    <w:rsid w:val="00D663BB"/>
    <w:rsid w:val="00D96FA0"/>
    <w:rsid w:val="00DB2B1D"/>
    <w:rsid w:val="00E462B7"/>
    <w:rsid w:val="00EB27CA"/>
    <w:rsid w:val="00F53796"/>
    <w:rsid w:val="0CF85BE2"/>
    <w:rsid w:val="0E373BE7"/>
    <w:rsid w:val="14877CCD"/>
    <w:rsid w:val="35CE7578"/>
    <w:rsid w:val="36A12288"/>
    <w:rsid w:val="46AA97AD"/>
    <w:rsid w:val="5EBD0E52"/>
    <w:rsid w:val="6B20D786"/>
    <w:rsid w:val="6C5AB863"/>
    <w:rsid w:val="71D425E7"/>
    <w:rsid w:val="78FEE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6CBC1"/>
  <w15:chartTrackingRefBased/>
  <w15:docId w15:val="{945091D0-307E-774F-AB6D-957E51A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D3D"/>
    <w:pPr>
      <w:tabs>
        <w:tab w:val="center" w:pos="4680"/>
        <w:tab w:val="right" w:pos="9360"/>
      </w:tabs>
    </w:pPr>
  </w:style>
  <w:style w:type="character" w:customStyle="1" w:styleId="HeaderChar">
    <w:name w:val="Header Char"/>
    <w:basedOn w:val="DefaultParagraphFont"/>
    <w:link w:val="Header"/>
    <w:uiPriority w:val="99"/>
    <w:rsid w:val="00992D3D"/>
  </w:style>
  <w:style w:type="paragraph" w:styleId="Footer">
    <w:name w:val="footer"/>
    <w:basedOn w:val="Normal"/>
    <w:link w:val="FooterChar"/>
    <w:uiPriority w:val="99"/>
    <w:unhideWhenUsed/>
    <w:rsid w:val="00992D3D"/>
    <w:pPr>
      <w:tabs>
        <w:tab w:val="center" w:pos="4680"/>
        <w:tab w:val="right" w:pos="9360"/>
      </w:tabs>
    </w:pPr>
  </w:style>
  <w:style w:type="character" w:customStyle="1" w:styleId="FooterChar">
    <w:name w:val="Footer Char"/>
    <w:basedOn w:val="DefaultParagraphFont"/>
    <w:link w:val="Footer"/>
    <w:uiPriority w:val="99"/>
    <w:rsid w:val="00992D3D"/>
  </w:style>
  <w:style w:type="character" w:styleId="PageNumber">
    <w:name w:val="page number"/>
    <w:basedOn w:val="DefaultParagraphFont"/>
    <w:uiPriority w:val="99"/>
    <w:semiHidden/>
    <w:unhideWhenUsed/>
    <w:rsid w:val="00992D3D"/>
  </w:style>
  <w:style w:type="paragraph" w:styleId="NormalWeb">
    <w:name w:val="Normal (Web)"/>
    <w:basedOn w:val="Normal"/>
    <w:uiPriority w:val="99"/>
    <w:semiHidden/>
    <w:unhideWhenUsed/>
    <w:rsid w:val="00222AC0"/>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11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1174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B1174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1">
    <w:name w:val="Grid Table 3 Accent 1"/>
    <w:basedOn w:val="TableNormal"/>
    <w:uiPriority w:val="48"/>
    <w:rsid w:val="00B117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Paragraph">
    <w:name w:val="List Paragraph"/>
    <w:basedOn w:val="Normal"/>
    <w:uiPriority w:val="34"/>
    <w:qFormat/>
    <w:rsid w:val="00B11749"/>
    <w:pPr>
      <w:ind w:left="720"/>
      <w:contextualSpacing/>
    </w:pPr>
  </w:style>
  <w:style w:type="character" w:styleId="CommentReference">
    <w:name w:val="annotation reference"/>
    <w:basedOn w:val="DefaultParagraphFont"/>
    <w:uiPriority w:val="99"/>
    <w:semiHidden/>
    <w:unhideWhenUsed/>
    <w:rsid w:val="001A7F03"/>
    <w:rPr>
      <w:sz w:val="16"/>
      <w:szCs w:val="16"/>
    </w:rPr>
  </w:style>
  <w:style w:type="paragraph" w:styleId="CommentText">
    <w:name w:val="annotation text"/>
    <w:basedOn w:val="Normal"/>
    <w:link w:val="CommentTextChar"/>
    <w:uiPriority w:val="99"/>
    <w:semiHidden/>
    <w:unhideWhenUsed/>
    <w:rsid w:val="001A7F03"/>
    <w:rPr>
      <w:sz w:val="20"/>
      <w:szCs w:val="20"/>
    </w:rPr>
  </w:style>
  <w:style w:type="character" w:customStyle="1" w:styleId="CommentTextChar">
    <w:name w:val="Comment Text Char"/>
    <w:basedOn w:val="DefaultParagraphFont"/>
    <w:link w:val="CommentText"/>
    <w:uiPriority w:val="99"/>
    <w:semiHidden/>
    <w:rsid w:val="001A7F03"/>
    <w:rPr>
      <w:sz w:val="20"/>
      <w:szCs w:val="20"/>
    </w:rPr>
  </w:style>
  <w:style w:type="paragraph" w:styleId="CommentSubject">
    <w:name w:val="annotation subject"/>
    <w:basedOn w:val="CommentText"/>
    <w:next w:val="CommentText"/>
    <w:link w:val="CommentSubjectChar"/>
    <w:uiPriority w:val="99"/>
    <w:semiHidden/>
    <w:unhideWhenUsed/>
    <w:rsid w:val="001A7F03"/>
    <w:rPr>
      <w:b/>
      <w:bCs/>
    </w:rPr>
  </w:style>
  <w:style w:type="character" w:customStyle="1" w:styleId="CommentSubjectChar">
    <w:name w:val="Comment Subject Char"/>
    <w:basedOn w:val="CommentTextChar"/>
    <w:link w:val="CommentSubject"/>
    <w:uiPriority w:val="99"/>
    <w:semiHidden/>
    <w:rsid w:val="001A7F03"/>
    <w:rPr>
      <w:b/>
      <w:bCs/>
      <w:sz w:val="20"/>
      <w:szCs w:val="20"/>
    </w:rPr>
  </w:style>
  <w:style w:type="paragraph" w:styleId="BalloonText">
    <w:name w:val="Balloon Text"/>
    <w:basedOn w:val="Normal"/>
    <w:link w:val="BalloonTextChar"/>
    <w:uiPriority w:val="99"/>
    <w:semiHidden/>
    <w:unhideWhenUsed/>
    <w:rsid w:val="001A7F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7F03"/>
    <w:rPr>
      <w:rFonts w:ascii="Times New Roman" w:hAnsi="Times New Roman" w:cs="Times New Roman"/>
      <w:sz w:val="18"/>
      <w:szCs w:val="18"/>
    </w:rPr>
  </w:style>
  <w:style w:type="table" w:styleId="GridTable1Light-Accent1">
    <w:name w:val="Grid Table 1 Light Accent 1"/>
    <w:basedOn w:val="TableNormal"/>
    <w:uiPriority w:val="46"/>
    <w:rsid w:val="00075AB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F68DE"/>
    <w:rPr>
      <w:color w:val="0563C1" w:themeColor="hyperlink"/>
      <w:u w:val="single"/>
    </w:rPr>
  </w:style>
  <w:style w:type="character" w:styleId="UnresolvedMention">
    <w:name w:val="Unresolved Mention"/>
    <w:basedOn w:val="DefaultParagraphFont"/>
    <w:uiPriority w:val="99"/>
    <w:semiHidden/>
    <w:unhideWhenUsed/>
    <w:rsid w:val="00AF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30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c.novoco.com/tenant/rentincome/calculator/z4.j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yomingcda.com/wp-content/uploads/2020/06/HOME-Rent-Limits-July-1-202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hud.gov/states/wyoming/offic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9F0B7D9ACA747AFF1CA87456E5B9C" ma:contentTypeVersion="10" ma:contentTypeDescription="Create a new document." ma:contentTypeScope="" ma:versionID="06ae44092e0066d27c07d0ef04b593f4">
  <xsd:schema xmlns:xsd="http://www.w3.org/2001/XMLSchema" xmlns:xs="http://www.w3.org/2001/XMLSchema" xmlns:p="http://schemas.microsoft.com/office/2006/metadata/properties" xmlns:ns2="9f701890-0dc2-4291-8425-b12bead21639" targetNamespace="http://schemas.microsoft.com/office/2006/metadata/properties" ma:root="true" ma:fieldsID="c6c50ca359ffd64bd5cafaeb6b937932" ns2:_="">
    <xsd:import namespace="9f701890-0dc2-4291-8425-b12bead2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01890-0dc2-4291-8425-b12bead21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5F2156-EB99-4BFF-9288-622F7AAEF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01890-0dc2-4291-8425-b12bead2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8A65E-D015-4403-ABB8-7A86F815E21E}">
  <ds:schemaRefs>
    <ds:schemaRef ds:uri="http://schemas.microsoft.com/sharepoint/v3/contenttype/forms"/>
  </ds:schemaRefs>
</ds:datastoreItem>
</file>

<file path=customXml/itemProps3.xml><?xml version="1.0" encoding="utf-8"?>
<ds:datastoreItem xmlns:ds="http://schemas.openxmlformats.org/officeDocument/2006/customXml" ds:itemID="{16CE45E7-4687-465A-B8CC-F99731728B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2650</Words>
  <Characters>15107</Characters>
  <Application>Microsoft Office Word</Application>
  <DocSecurity>0</DocSecurity>
  <Lines>125</Lines>
  <Paragraphs>35</Paragraphs>
  <ScaleCrop>false</ScaleCrop>
  <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Hannum</dc:creator>
  <cp:keywords/>
  <dc:description/>
  <cp:lastModifiedBy>Tonya Jones</cp:lastModifiedBy>
  <cp:revision>8</cp:revision>
  <cp:lastPrinted>2018-08-30T15:43:00Z</cp:lastPrinted>
  <dcterms:created xsi:type="dcterms:W3CDTF">2021-03-01T20:47:00Z</dcterms:created>
  <dcterms:modified xsi:type="dcterms:W3CDTF">2021-05-05T19:04:00Z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0x010100E5E9F0B7D9ACA747AFF1CA87456E5B9C</vt:lpwstr>
  </property>
</Properties>
</file>