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29" w:rsidRDefault="00FA5328">
      <w:pPr>
        <w:pBdr>
          <w:top w:val="nil"/>
          <w:left w:val="nil"/>
          <w:bottom w:val="nil"/>
          <w:right w:val="nil"/>
          <w:between w:val="nil"/>
        </w:pBdr>
        <w:ind w:left="2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73026</wp:posOffset>
            </wp:positionH>
            <wp:positionV relativeFrom="paragraph">
              <wp:posOffset>-174624</wp:posOffset>
            </wp:positionV>
            <wp:extent cx="992505" cy="600075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8585200</wp:posOffset>
            </wp:positionH>
            <wp:positionV relativeFrom="paragraph">
              <wp:posOffset>-165099</wp:posOffset>
            </wp:positionV>
            <wp:extent cx="992505" cy="600075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D29" w:rsidRDefault="00FA5328">
      <w:pPr>
        <w:pStyle w:val="Heading1"/>
        <w:ind w:left="0"/>
        <w:jc w:val="center"/>
      </w:pPr>
      <w:r>
        <w:rPr>
          <w:u w:val="single"/>
        </w:rPr>
        <w:t xml:space="preserve">In the </w:t>
      </w:r>
      <w:proofErr w:type="gramStart"/>
      <w:r>
        <w:rPr>
          <w:u w:val="single"/>
        </w:rPr>
        <w:t>Autumn</w:t>
      </w:r>
      <w:proofErr w:type="gramEnd"/>
      <w:r>
        <w:rPr>
          <w:u w:val="single"/>
        </w:rPr>
        <w:t xml:space="preserve"> term children will be learning:</w:t>
      </w:r>
    </w:p>
    <w:p w:rsidR="00D85D29" w:rsidRDefault="00D85D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5D29" w:rsidRDefault="00D85D29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b/>
          <w:color w:val="000000"/>
          <w:sz w:val="13"/>
          <w:szCs w:val="13"/>
        </w:rPr>
      </w:pPr>
    </w:p>
    <w:tbl>
      <w:tblPr>
        <w:tblStyle w:val="a"/>
        <w:tblW w:w="1507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30"/>
        <w:gridCol w:w="2895"/>
        <w:gridCol w:w="2295"/>
        <w:gridCol w:w="2655"/>
        <w:gridCol w:w="4143"/>
      </w:tblGrid>
      <w:tr w:rsidR="00D85D29">
        <w:trPr>
          <w:trHeight w:val="1160"/>
        </w:trPr>
        <w:tc>
          <w:tcPr>
            <w:tcW w:w="2160" w:type="dxa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Skills for Life:</w:t>
            </w:r>
          </w:p>
          <w:p w:rsidR="00D85D29" w:rsidRDefault="00FA53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Communication</w:t>
            </w:r>
          </w:p>
          <w:p w:rsidR="00D85D29" w:rsidRDefault="00FA53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 Work</w:t>
            </w:r>
          </w:p>
          <w:p w:rsidR="00D85D29" w:rsidRDefault="00FA53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Resilience</w:t>
            </w:r>
          </w:p>
          <w:p w:rsidR="00D85D29" w:rsidRDefault="00FA53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Being Safe</w:t>
            </w:r>
          </w:p>
        </w:tc>
        <w:tc>
          <w:tcPr>
            <w:tcW w:w="3825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Playing and exploring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Showing curiosity about objects, events and people.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Showing particular interests.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Representing their experiences in play.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Active learning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Maintaining focus on their activity for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period of time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Showing high levels of energy, fascination.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Persisting with activity when challenges occur.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Being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Creative and thinking critically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Finding new ways to do things.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Making links and noticing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patterns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 their experiences.</w:t>
            </w:r>
          </w:p>
        </w:tc>
        <w:tc>
          <w:tcPr>
            <w:tcW w:w="2295" w:type="dxa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Childhood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Experiences:</w:t>
            </w:r>
          </w:p>
          <w:p w:rsidR="00D85D29" w:rsidRDefault="00D8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Catch a falling leaf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Collect conkers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Make a mud pie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 Run around in the rain</w:t>
            </w: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Reading for Pleasure: 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Dear zoo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Shark in the park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Room on the broom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 Peach Pear Plum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Humpty Dumpty  (national nursery rhyme week)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Gingerbread Man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Christmas story</w:t>
            </w:r>
          </w:p>
          <w:p w:rsidR="00D85D29" w:rsidRDefault="00D8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tcBorders>
              <w:left w:val="single" w:sz="4" w:space="0" w:color="000000"/>
            </w:tcBorders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KSU Passports: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right="394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bidi="ar-SA"/>
              </w:rPr>
              <w:drawing>
                <wp:inline distT="19050" distB="19050" distL="19050" distR="19050">
                  <wp:extent cx="658257" cy="77414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57" cy="774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ar-SA"/>
              </w:rPr>
              <w:drawing>
                <wp:inline distT="19050" distB="19050" distL="19050" distR="19050">
                  <wp:extent cx="542687" cy="792149"/>
                  <wp:effectExtent l="0" t="0" r="0" b="0"/>
                  <wp:docPr id="16" name="image1.jpg" descr="C:\Users\James\Desktop\cultural explore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James\Desktop\cultural explorers.jpg"/>
                          <pic:cNvPicPr preferRelativeResize="0"/>
                        </pic:nvPicPr>
                        <pic:blipFill>
                          <a:blip r:embed="rId8"/>
                          <a:srcRect l="7956" r="7311" b="5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87" cy="792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ar-SA"/>
              </w:rPr>
              <w:drawing>
                <wp:inline distT="19050" distB="19050" distL="19050" distR="19050">
                  <wp:extent cx="556328" cy="776697"/>
                  <wp:effectExtent l="0" t="0" r="0" b="0"/>
                  <wp:docPr id="14" name="image3.jpg" descr="C:\Users\James\Desktop\Logos\Global Enquirers Large no bor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James\Desktop\Logos\Global Enquirers Large no border.jpg"/>
                          <pic:cNvPicPr preferRelativeResize="0"/>
                        </pic:nvPicPr>
                        <pic:blipFill>
                          <a:blip r:embed="rId9"/>
                          <a:srcRect l="7170" r="7569" b="6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28" cy="7766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D29">
        <w:trPr>
          <w:trHeight w:val="78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Personal, Social and Emotional Development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394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term focuses on settling into our nursery classes, building relationships with individual key workers, meeting new friends and learning nursery rules and expectations.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will be promoting turn taking and working within a team.</w:t>
            </w:r>
          </w:p>
        </w:tc>
      </w:tr>
      <w:tr w:rsidR="00D85D29">
        <w:trPr>
          <w:trHeight w:val="104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Communication and Language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Opportunities will be provided to develop language and listening skills; this will include small games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role play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scenarios.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will build up a bank of familiar stories, focusing on joining in with repeated refrains and rete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lling the stories ourselves.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0" w:lineRule="auto"/>
              <w:ind w:left="108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use Launch Pad for Literacy as our approach in order to identify speech, language and other developmental needs as soon as possible and to embed specific skill-based intervention into practice and Quality First Teaching.</w:t>
            </w:r>
          </w:p>
        </w:tc>
      </w:tr>
      <w:tr w:rsidR="00D85D29">
        <w:trPr>
          <w:trHeight w:val="54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Physical Development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This term we will focus on developing both gross and fine motor skills, such as pouring, lacing, threading, cutting and mark making. 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will be focussing on promoting independence in self-care.</w:t>
            </w:r>
          </w:p>
        </w:tc>
      </w:tr>
      <w:tr w:rsidR="00D85D29">
        <w:trPr>
          <w:trHeight w:val="78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Literacy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well as introducing new stories, access to the reading areas will be encouraged. Different types of mark making will be introduced encouraging children to give meaning to their marks- distinguishing between their picture and writing.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Each week there are planned inputs taken from Launch Pad, focusing on early reading and writing skills.</w:t>
            </w:r>
          </w:p>
        </w:tc>
      </w:tr>
      <w:tr w:rsidR="00D85D29">
        <w:trPr>
          <w:trHeight w:val="88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This term we will be learning to count in order, making </w:t>
            </w:r>
            <w:r>
              <w:rPr>
                <w:rFonts w:ascii="Arial" w:eastAsia="Arial" w:hAnsi="Arial" w:cs="Arial"/>
                <w:sz w:val="20"/>
                <w:szCs w:val="20"/>
              </w:rPr>
              <w:t>connections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between the counting and total amount. We will learn counting songs and rhymes to promote this.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2" w:lineRule="auto"/>
              <w:ind w:left="108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will also explore 2D shapes and begin to learn their mathematical name and their properties.</w:t>
            </w:r>
          </w:p>
        </w:tc>
      </w:tr>
      <w:tr w:rsidR="00D85D29">
        <w:trPr>
          <w:trHeight w:val="40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the World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term we will see many changes happening outside as the seasons change. We will observe these closely through OPAL.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will be learning about different celebrations and calendar events.</w:t>
            </w:r>
          </w:p>
        </w:tc>
      </w:tr>
      <w:tr w:rsidR="00D85D29">
        <w:trPr>
          <w:trHeight w:val="880"/>
        </w:trPr>
        <w:tc>
          <w:tcPr>
            <w:tcW w:w="3090" w:type="dxa"/>
            <w:gridSpan w:val="2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Expressive Arts and Design</w:t>
            </w:r>
          </w:p>
        </w:tc>
        <w:tc>
          <w:tcPr>
            <w:tcW w:w="11988" w:type="dxa"/>
            <w:gridSpan w:val="4"/>
          </w:tcPr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Imaginative play will be encouraged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role play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areas, basing these on the children’s own experiences. Singing both new and familiar songs and rhymes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 be planned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into the daily routine.</w:t>
            </w:r>
          </w:p>
          <w:p w:rsidR="00D85D29" w:rsidRDefault="00FA5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8" w:right="132" w:hanging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will be using various construction blocks, focusing on developing hand-eye coordination to balance and build. Different purposes of building will be introduced, e.g. a house or bridge.</w:t>
            </w:r>
          </w:p>
        </w:tc>
      </w:tr>
    </w:tbl>
    <w:p w:rsidR="00D85D29" w:rsidRDefault="00D85D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D85D29">
          <w:pgSz w:w="15840" w:h="12240"/>
          <w:pgMar w:top="500" w:right="1020" w:bottom="500" w:left="280" w:header="720" w:footer="720" w:gutter="0"/>
          <w:pgNumType w:start="1"/>
          <w:cols w:space="720"/>
        </w:sectPr>
      </w:pPr>
    </w:p>
    <w:p w:rsidR="00D85D29" w:rsidRDefault="00D85D29"/>
    <w:sectPr w:rsidR="00D85D29">
      <w:type w:val="continuous"/>
      <w:pgSz w:w="15840" w:h="12240"/>
      <w:pgMar w:top="500" w:right="1020" w:bottom="50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E88"/>
    <w:multiLevelType w:val="multilevel"/>
    <w:tmpl w:val="9BB26E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9"/>
    <w:rsid w:val="00D85D29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A2164-1A6B-4C18-ABE5-0D31A31E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GB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ZFONRy/JLsfxa4s+PuZRgAfhw==">AMUW2mWq4W8gAI9Zfyf6tfQvxktceuVKWcNeGVEOfyohBE9XKCq2nXi4ppE8IedWa0tAnLVUvL/vDNtdkumAfnTRODaPB/hUuDFdYSD2g+rWoD9wWKU1Pes=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Parker</dc:creator>
  <cp:lastModifiedBy>Louise Hall</cp:lastModifiedBy>
  <cp:revision>2</cp:revision>
  <dcterms:created xsi:type="dcterms:W3CDTF">2019-09-04T10:18:00Z</dcterms:created>
  <dcterms:modified xsi:type="dcterms:W3CDTF">2019-09-04T10:18:00Z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2019-06-26T00:00:00Z</vt:filetime>
  </property>
</Properties>
</file>