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ssoonPrimaryInfant" w:cs="SassoonPrimaryInfant" w:eastAsia="SassoonPrimaryInfant" w:hAnsi="SassoonPrimaryInfant"/>
          <w:b w:val="1"/>
          <w:u w:val="single"/>
        </w:rPr>
      </w:pPr>
      <w:r w:rsidDel="00000000" w:rsidR="00000000" w:rsidRPr="00000000">
        <w:rPr>
          <w:rFonts w:ascii="SassoonPrimaryInfant" w:cs="SassoonPrimaryInfant" w:eastAsia="SassoonPrimaryInfant" w:hAnsi="SassoonPrimaryInfant"/>
          <w:b w:val="1"/>
          <w:u w:val="single"/>
          <w:rtl w:val="0"/>
        </w:rPr>
        <w:t xml:space="preserve">Public Sector Equalities Duties </w:t>
      </w:r>
    </w:p>
    <w:p w:rsidR="00000000" w:rsidDel="00000000" w:rsidP="00000000" w:rsidRDefault="00000000" w:rsidRPr="00000000" w14:paraId="00000002">
      <w:pPr>
        <w:rPr>
          <w:rFonts w:ascii="SassoonPrimaryInfant" w:cs="SassoonPrimaryInfant" w:eastAsia="SassoonPrimaryInfant" w:hAnsi="SassoonPrimaryInfant"/>
        </w:rPr>
      </w:pPr>
      <w:r w:rsidDel="00000000" w:rsidR="00000000" w:rsidRPr="00000000">
        <w:rPr>
          <w:rFonts w:ascii="SassoonPrimaryInfant" w:cs="SassoonPrimaryInfant" w:eastAsia="SassoonPrimaryInfant" w:hAnsi="SassoonPrimaryInfant"/>
          <w:rtl w:val="0"/>
        </w:rPr>
        <w:t xml:space="preserve">The following is an outline of how we currently address the public sector equalities duties that are outlined in the Equality Act 2010. </w:t>
      </w:r>
    </w:p>
    <w:tbl>
      <w:tblPr>
        <w:tblStyle w:val="Table1"/>
        <w:tblW w:w="10110.0" w:type="dxa"/>
        <w:jc w:val="left"/>
        <w:tblInd w:w="0.0" w:type="dxa"/>
        <w:tblBorders>
          <w:top w:color="9cc3e5" w:space="0" w:sz="4" w:val="single"/>
          <w:left w:color="9cc3e5" w:space="0" w:sz="4" w:val="single"/>
          <w:bottom w:color="9cc3e5" w:space="0" w:sz="4" w:val="single"/>
          <w:right w:color="9cc3e5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A0"/>
      </w:tblPr>
      <w:tblGrid>
        <w:gridCol w:w="2745"/>
        <w:gridCol w:w="4695"/>
        <w:gridCol w:w="2670"/>
        <w:tblGridChange w:id="0">
          <w:tblGrid>
            <w:gridCol w:w="2745"/>
            <w:gridCol w:w="4695"/>
            <w:gridCol w:w="2670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Aspect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we address this aspect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policies and documents pertinent to this aspect</w:t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Eliminating discrimination and other conduct that is prohibited by the Act </w:t>
            </w:r>
          </w:p>
        </w:tc>
        <w:tc>
          <w:tcPr/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Staff training delivered each September with explicit references to the Act.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Follow-up training is delivered as needs arise throughout the year. 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Explicit teaching around the protected characteristics and the law.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Equalities-related incidents reported explicitly using CPOMS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Protected Characteristics interventions held weekly.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Equalities Curriculum Mapping (available on website)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CPS is a Stonewall Champion School.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 Policy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Anti-bullying policy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Staff Equality Statement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Pupil Equality Statement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Equality Objectives</w:t>
            </w:r>
          </w:p>
        </w:tc>
      </w:tr>
      <w:tr>
        <w:trPr>
          <w:trHeight w:val="1120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Advancing equality of opportunity between people who share a protected characteristic and people who do not share it 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 Neutral Toilets available on each site.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Explicit teaching around the protected characteristics and the law.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Equalities Curriculum Mapping (available on website)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CPS is a Stonewall Champion School.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Children of other faiths encouraged to join in celebrations (e.g. Christmas performances) but provision is habitually made if they do not wish to.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Curriculum responds to equalities needs as they arise (teaching around LGBT relationships, diverse families focus for a particular year group, work around disabilities and race for targeted groups of children)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Assemblies around tolerance and diversity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Diversity Week held annually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 and Equality are two of our Core Values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Protected Characteristics pathways groups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 Policy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Anti-bullying policy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Staff Equality Statement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Pupil Equality Statement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Equality Objectives</w:t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23">
            <w:pPr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Engagement with people affected by decisions and with people who have special knowledge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Regular visits from faith groups, especially the local Anglican Church and Sikh communities.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of the Stonewall Champion programme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Project work with Year 6 on tackling inclusion and fostering a welcoming community.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Staff Equality Statement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ALP Pupil Equality Statement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Equality Objectives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SassoonPrimaryInfant" w:cs="SassoonPrimaryInfant" w:eastAsia="SassoonPrimaryInfant" w:hAnsi="SassoonPrimaryInfant"/>
          <w:b w:val="1"/>
          <w:u w:val="singl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45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ssoonPrimaryInfan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000000" w:space="0" w:sz="0" w:val="nil"/>
          <w:insideV w:color="000000" w:space="0" w:sz="0" w:val="nil"/>
        </w:tcBorders>
        <w:shd w:fill="5b9bd5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5b9bd5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