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4A8" w:rsidRDefault="005B0FBA">
      <w:pPr>
        <w:pStyle w:val="NoSpacing"/>
        <w:rPr>
          <w:rFonts w:cs="Calibri"/>
          <w:color w:val="808080"/>
          <w:sz w:val="20"/>
          <w:szCs w:val="20"/>
        </w:rPr>
      </w:pPr>
      <w:r>
        <w:rPr>
          <w:rFonts w:asciiTheme="minorHAnsi" w:hAnsiTheme="minorHAnsi" w:cstheme="minorHAnsi"/>
          <w:b/>
          <w:noProof/>
          <w:sz w:val="28"/>
          <w:szCs w:val="28"/>
        </w:rPr>
        <w:drawing>
          <wp:anchor distT="0" distB="0" distL="114300" distR="114300" simplePos="0" relativeHeight="251658240" behindDoc="0" locked="0" layoutInCell="1" allowOverlap="1">
            <wp:simplePos x="0" y="0"/>
            <wp:positionH relativeFrom="column">
              <wp:posOffset>5192174</wp:posOffset>
            </wp:positionH>
            <wp:positionV relativeFrom="paragraph">
              <wp:posOffset>-718626</wp:posOffset>
            </wp:positionV>
            <wp:extent cx="1189355" cy="7194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 Logo with Transparent BK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9355" cy="719455"/>
                    </a:xfrm>
                    <a:prstGeom prst="rect">
                      <a:avLst/>
                    </a:prstGeom>
                  </pic:spPr>
                </pic:pic>
              </a:graphicData>
            </a:graphic>
            <wp14:sizeRelH relativeFrom="page">
              <wp14:pctWidth>0</wp14:pctWidth>
            </wp14:sizeRelH>
            <wp14:sizeRelV relativeFrom="page">
              <wp14:pctHeight>0</wp14:pctHeight>
            </wp14:sizeRelV>
          </wp:anchor>
        </w:drawing>
      </w:r>
    </w:p>
    <w:p w:rsidR="00D434A8" w:rsidRDefault="00D97DC8">
      <w:pPr>
        <w:pStyle w:val="NoSpacing"/>
        <w:rPr>
          <w:rFonts w:cs="Calibri"/>
          <w:color w:val="808080"/>
          <w:sz w:val="20"/>
          <w:szCs w:val="20"/>
        </w:rPr>
      </w:pPr>
      <w:r>
        <w:rPr>
          <w:rFonts w:cs="Calibri"/>
          <w:color w:val="808080"/>
          <w:sz w:val="20"/>
          <w:szCs w:val="20"/>
        </w:rPr>
        <w:t xml:space="preserve">Reviewed </w:t>
      </w:r>
      <w:r w:rsidR="00155E85">
        <w:rPr>
          <w:rFonts w:cs="Calibri"/>
          <w:color w:val="808080"/>
          <w:sz w:val="20"/>
          <w:szCs w:val="20"/>
        </w:rPr>
        <w:t>Mar19</w:t>
      </w:r>
      <w:r>
        <w:rPr>
          <w:rFonts w:cs="Calibri"/>
          <w:color w:val="808080"/>
          <w:sz w:val="20"/>
          <w:szCs w:val="20"/>
        </w:rPr>
        <w:t xml:space="preserve">  Next review Sep19       </w:t>
      </w:r>
      <w:r w:rsidR="005B0FBA">
        <w:rPr>
          <w:rFonts w:cs="Calibri"/>
          <w:color w:val="808080"/>
          <w:sz w:val="20"/>
          <w:szCs w:val="20"/>
        </w:rPr>
        <w:t xml:space="preserve">                                                                                            Responsibility: Business Team</w:t>
      </w:r>
    </w:p>
    <w:p w:rsidR="00D434A8" w:rsidRDefault="005B0FBA">
      <w:pPr>
        <w:pStyle w:val="NoSpacing"/>
        <w:rPr>
          <w:rFonts w:cs="Calibri"/>
          <w:b/>
          <w:color w:val="808080"/>
          <w:sz w:val="20"/>
        </w:rPr>
      </w:pPr>
      <w:r>
        <w:rPr>
          <w:rFonts w:cs="Calibri"/>
          <w:color w:val="808080"/>
          <w:sz w:val="20"/>
          <w:szCs w:val="20"/>
        </w:rPr>
        <w:t>------------------------------------------------------------------------------------------------------------------------------------------------------------------</w:t>
      </w:r>
    </w:p>
    <w:p w:rsidR="00D434A8" w:rsidRDefault="00D434A8">
      <w:pPr>
        <w:pStyle w:val="Default"/>
        <w:rPr>
          <w:rFonts w:asciiTheme="minorHAnsi" w:hAnsiTheme="minorHAnsi" w:cstheme="minorHAnsi"/>
          <w:b/>
          <w:sz w:val="28"/>
          <w:szCs w:val="28"/>
        </w:rPr>
      </w:pPr>
    </w:p>
    <w:p w:rsidR="00D434A8" w:rsidRDefault="005B0FBA">
      <w:pPr>
        <w:pStyle w:val="Default"/>
        <w:rPr>
          <w:rFonts w:asciiTheme="minorHAnsi" w:hAnsiTheme="minorHAnsi" w:cstheme="minorHAnsi"/>
          <w:b/>
          <w:sz w:val="28"/>
          <w:szCs w:val="28"/>
        </w:rPr>
      </w:pPr>
      <w:r>
        <w:rPr>
          <w:rFonts w:asciiTheme="minorHAnsi" w:hAnsiTheme="minorHAnsi" w:cstheme="minorHAnsi"/>
          <w:b/>
          <w:sz w:val="28"/>
          <w:szCs w:val="28"/>
        </w:rPr>
        <w:t>Governin</w:t>
      </w:r>
      <w:r w:rsidR="00D97DC8">
        <w:rPr>
          <w:rFonts w:asciiTheme="minorHAnsi" w:hAnsiTheme="minorHAnsi" w:cstheme="minorHAnsi"/>
          <w:b/>
          <w:sz w:val="28"/>
          <w:szCs w:val="28"/>
        </w:rPr>
        <w:t>g Body – Terms of Reference 2018 - 2019</w:t>
      </w:r>
    </w:p>
    <w:p w:rsidR="00D434A8" w:rsidRDefault="00D97DC8">
      <w:pPr>
        <w:pStyle w:val="Default"/>
        <w:rPr>
          <w:rFonts w:asciiTheme="minorHAnsi" w:hAnsiTheme="minorHAnsi" w:cstheme="minorHAnsi"/>
          <w:b/>
          <w:sz w:val="28"/>
          <w:szCs w:val="28"/>
        </w:rPr>
      </w:pPr>
      <w:r>
        <w:rPr>
          <w:rFonts w:asciiTheme="minorHAnsi" w:hAnsiTheme="minorHAnsi" w:cstheme="minorHAnsi"/>
          <w:b/>
          <w:sz w:val="28"/>
          <w:szCs w:val="28"/>
        </w:rPr>
        <w:t>Quality Assurance Committee (QAC)</w:t>
      </w:r>
    </w:p>
    <w:p w:rsidR="00D434A8" w:rsidRDefault="00D434A8">
      <w:pPr>
        <w:rPr>
          <w:rFonts w:asciiTheme="minorHAnsi" w:hAnsiTheme="minorHAnsi" w:cstheme="minorHAnsi"/>
        </w:rPr>
      </w:pPr>
    </w:p>
    <w:p w:rsidR="00D434A8" w:rsidRDefault="005B0FBA">
      <w:pPr>
        <w:rPr>
          <w:rFonts w:asciiTheme="minorHAnsi" w:hAnsiTheme="minorHAnsi" w:cstheme="minorHAnsi"/>
          <w:b/>
        </w:rPr>
      </w:pPr>
      <w:r>
        <w:rPr>
          <w:rFonts w:asciiTheme="minorHAnsi" w:hAnsiTheme="minorHAnsi" w:cstheme="minorHAnsi"/>
          <w:b/>
        </w:rPr>
        <w:t>Membership</w:t>
      </w:r>
    </w:p>
    <w:p w:rsidR="00D434A8" w:rsidRDefault="00D97DC8">
      <w:pPr>
        <w:pStyle w:val="ListParagraph"/>
        <w:numPr>
          <w:ilvl w:val="0"/>
          <w:numId w:val="1"/>
        </w:numPr>
        <w:rPr>
          <w:rFonts w:asciiTheme="minorHAnsi" w:hAnsiTheme="minorHAnsi" w:cstheme="minorHAnsi"/>
        </w:rPr>
      </w:pPr>
      <w:r>
        <w:rPr>
          <w:rFonts w:asciiTheme="minorHAnsi" w:hAnsiTheme="minorHAnsi" w:cstheme="minorHAnsi"/>
        </w:rPr>
        <w:t>Not less than 3</w:t>
      </w:r>
      <w:r w:rsidR="005B0FBA">
        <w:rPr>
          <w:rFonts w:asciiTheme="minorHAnsi" w:hAnsiTheme="minorHAnsi" w:cstheme="minorHAnsi"/>
        </w:rPr>
        <w:t xml:space="preserve"> Governors appointed by the Governing Body plus any a</w:t>
      </w:r>
      <w:r w:rsidR="0020365D">
        <w:rPr>
          <w:rFonts w:asciiTheme="minorHAnsi" w:hAnsiTheme="minorHAnsi" w:cstheme="minorHAnsi"/>
        </w:rPr>
        <w:t>ssociate and ex-officio members;</w:t>
      </w:r>
    </w:p>
    <w:p w:rsidR="00D434A8" w:rsidRDefault="005B0FBA">
      <w:pPr>
        <w:pStyle w:val="ListParagraph"/>
        <w:numPr>
          <w:ilvl w:val="0"/>
          <w:numId w:val="1"/>
        </w:numPr>
        <w:rPr>
          <w:rFonts w:asciiTheme="minorHAnsi" w:hAnsiTheme="minorHAnsi" w:cstheme="minorHAnsi"/>
        </w:rPr>
      </w:pPr>
      <w:r>
        <w:rPr>
          <w:rFonts w:asciiTheme="minorHAnsi" w:hAnsiTheme="minorHAnsi" w:cstheme="minorHAnsi"/>
        </w:rPr>
        <w:t>The Committee may make recommendations to the Governing Body for co</w:t>
      </w:r>
      <w:r w:rsidR="0020365D">
        <w:rPr>
          <w:rFonts w:asciiTheme="minorHAnsi" w:hAnsiTheme="minorHAnsi" w:cstheme="minorHAnsi"/>
        </w:rPr>
        <w:t>-option of non-Governor members;</w:t>
      </w:r>
    </w:p>
    <w:p w:rsidR="00D434A8" w:rsidRDefault="005B0FBA">
      <w:pPr>
        <w:pStyle w:val="ListParagraph"/>
        <w:numPr>
          <w:ilvl w:val="0"/>
          <w:numId w:val="1"/>
        </w:numPr>
        <w:rPr>
          <w:rFonts w:asciiTheme="minorHAnsi" w:hAnsiTheme="minorHAnsi" w:cstheme="minorHAnsi"/>
        </w:rPr>
      </w:pPr>
      <w:r>
        <w:rPr>
          <w:rFonts w:asciiTheme="minorHAnsi" w:hAnsiTheme="minorHAnsi" w:cstheme="minorHAnsi"/>
        </w:rPr>
        <w:t>The Chair should be appointed at the beginning of the first meeting of each school year by the Committee.  Th</w:t>
      </w:r>
      <w:r w:rsidR="0020365D">
        <w:rPr>
          <w:rFonts w:asciiTheme="minorHAnsi" w:hAnsiTheme="minorHAnsi" w:cstheme="minorHAnsi"/>
        </w:rPr>
        <w:t>e Chair must be a full Governor;</w:t>
      </w:r>
    </w:p>
    <w:p w:rsidR="00D434A8" w:rsidRDefault="005B0FBA">
      <w:pPr>
        <w:pStyle w:val="ListParagraph"/>
        <w:numPr>
          <w:ilvl w:val="0"/>
          <w:numId w:val="1"/>
        </w:numPr>
        <w:rPr>
          <w:rFonts w:asciiTheme="minorHAnsi" w:hAnsiTheme="minorHAnsi" w:cstheme="minorHAnsi"/>
        </w:rPr>
      </w:pPr>
      <w:r>
        <w:rPr>
          <w:rFonts w:asciiTheme="minorHAnsi" w:hAnsiTheme="minorHAnsi" w:cstheme="minorHAnsi"/>
        </w:rPr>
        <w:t>In the absence of the Chair, the Committee shall choose an Acting Chair for that meeting from among their number</w:t>
      </w:r>
      <w:r w:rsidR="0020365D">
        <w:rPr>
          <w:rFonts w:asciiTheme="minorHAnsi" w:hAnsiTheme="minorHAnsi" w:cstheme="minorHAnsi"/>
        </w:rPr>
        <w:t>.  This must be a full Governor;</w:t>
      </w:r>
    </w:p>
    <w:p w:rsidR="00D434A8" w:rsidRDefault="005B0FBA">
      <w:pPr>
        <w:pStyle w:val="ListParagraph"/>
        <w:numPr>
          <w:ilvl w:val="0"/>
          <w:numId w:val="1"/>
        </w:numPr>
        <w:rPr>
          <w:rFonts w:asciiTheme="minorHAnsi" w:hAnsiTheme="minorHAnsi" w:cstheme="minorHAnsi"/>
        </w:rPr>
      </w:pPr>
      <w:r>
        <w:rPr>
          <w:rFonts w:asciiTheme="minorHAnsi" w:hAnsiTheme="minorHAnsi" w:cstheme="minorHAnsi"/>
        </w:rPr>
        <w:t>In the absence of a Clerk, the Committee shall choose a Clerk for that me</w:t>
      </w:r>
      <w:r w:rsidR="0020365D">
        <w:rPr>
          <w:rFonts w:asciiTheme="minorHAnsi" w:hAnsiTheme="minorHAnsi" w:cstheme="minorHAnsi"/>
        </w:rPr>
        <w:t>eting from among their number;</w:t>
      </w:r>
    </w:p>
    <w:p w:rsidR="00D434A8" w:rsidRDefault="005B0FBA">
      <w:pPr>
        <w:pStyle w:val="ListParagraph"/>
        <w:numPr>
          <w:ilvl w:val="0"/>
          <w:numId w:val="1"/>
        </w:numPr>
        <w:rPr>
          <w:rFonts w:asciiTheme="minorHAnsi" w:hAnsiTheme="minorHAnsi" w:cstheme="minorHAnsi"/>
        </w:rPr>
      </w:pPr>
      <w:r>
        <w:rPr>
          <w:rFonts w:asciiTheme="minorHAnsi" w:hAnsiTheme="minorHAnsi" w:cstheme="minorHAnsi"/>
        </w:rPr>
        <w:t>Members are required to declare an interest in any matter that affects them.  Having declared an interest</w:t>
      </w:r>
      <w:r w:rsidR="0020365D">
        <w:rPr>
          <w:rFonts w:asciiTheme="minorHAnsi" w:hAnsiTheme="minorHAnsi" w:cstheme="minorHAnsi"/>
        </w:rPr>
        <w:t>,</w:t>
      </w:r>
      <w:r>
        <w:rPr>
          <w:rFonts w:asciiTheme="minorHAnsi" w:hAnsiTheme="minorHAnsi" w:cstheme="minorHAnsi"/>
        </w:rPr>
        <w:t xml:space="preserve"> the member is required to leave the room and take no further part </w:t>
      </w:r>
      <w:r w:rsidR="0020365D">
        <w:rPr>
          <w:rFonts w:asciiTheme="minorHAnsi" w:hAnsiTheme="minorHAnsi" w:cstheme="minorHAnsi"/>
        </w:rPr>
        <w:t>in the discussions on that item;</w:t>
      </w:r>
    </w:p>
    <w:p w:rsidR="00D434A8" w:rsidRDefault="005B0FBA" w:rsidP="00E828C8">
      <w:pPr>
        <w:pStyle w:val="ListParagraph"/>
        <w:numPr>
          <w:ilvl w:val="0"/>
          <w:numId w:val="1"/>
        </w:numPr>
        <w:rPr>
          <w:rFonts w:asciiTheme="minorHAnsi" w:hAnsiTheme="minorHAnsi" w:cstheme="minorHAnsi"/>
        </w:rPr>
      </w:pPr>
      <w:r w:rsidRPr="004D5496">
        <w:rPr>
          <w:rFonts w:asciiTheme="minorHAnsi" w:hAnsiTheme="minorHAnsi" w:cstheme="minorHAnsi"/>
        </w:rPr>
        <w:t>The quo</w:t>
      </w:r>
      <w:r w:rsidR="004D5496" w:rsidRPr="004D5496">
        <w:rPr>
          <w:rFonts w:asciiTheme="minorHAnsi" w:hAnsiTheme="minorHAnsi" w:cstheme="minorHAnsi"/>
        </w:rPr>
        <w:t>rum, for the meetings shall be 3</w:t>
      </w:r>
      <w:r w:rsidRPr="004D5496">
        <w:rPr>
          <w:rFonts w:asciiTheme="minorHAnsi" w:hAnsiTheme="minorHAnsi" w:cstheme="minorHAnsi"/>
        </w:rPr>
        <w:t xml:space="preserve"> members who are full Governors.  </w:t>
      </w:r>
    </w:p>
    <w:p w:rsidR="004D5496" w:rsidRPr="004D5496" w:rsidRDefault="004D5496" w:rsidP="004D5496">
      <w:pPr>
        <w:pStyle w:val="ListParagraph"/>
        <w:rPr>
          <w:rFonts w:asciiTheme="minorHAnsi" w:hAnsiTheme="minorHAnsi" w:cstheme="minorHAnsi"/>
        </w:rPr>
      </w:pPr>
    </w:p>
    <w:p w:rsidR="00D434A8" w:rsidRDefault="005B0FBA">
      <w:pPr>
        <w:rPr>
          <w:rFonts w:asciiTheme="minorHAnsi" w:hAnsiTheme="minorHAnsi" w:cstheme="minorHAnsi"/>
          <w:b/>
        </w:rPr>
      </w:pPr>
      <w:r>
        <w:rPr>
          <w:rFonts w:asciiTheme="minorHAnsi" w:hAnsiTheme="minorHAnsi" w:cstheme="minorHAnsi"/>
          <w:b/>
        </w:rPr>
        <w:t>Disqualification</w:t>
      </w:r>
    </w:p>
    <w:p w:rsidR="00D434A8" w:rsidRDefault="005B0FBA">
      <w:pPr>
        <w:rPr>
          <w:rFonts w:asciiTheme="minorHAnsi" w:hAnsiTheme="minorHAnsi" w:cstheme="minorHAnsi"/>
        </w:rPr>
      </w:pPr>
      <w:r>
        <w:rPr>
          <w:rFonts w:asciiTheme="minorHAnsi" w:hAnsiTheme="minorHAnsi" w:cstheme="minorHAnsi"/>
        </w:rPr>
        <w:t>None</w:t>
      </w:r>
    </w:p>
    <w:p w:rsidR="00D434A8" w:rsidRDefault="00D434A8">
      <w:pPr>
        <w:rPr>
          <w:rFonts w:asciiTheme="minorHAnsi" w:hAnsiTheme="minorHAnsi" w:cstheme="minorHAnsi"/>
        </w:rPr>
      </w:pPr>
    </w:p>
    <w:p w:rsidR="00D434A8" w:rsidRDefault="005B0FBA">
      <w:pPr>
        <w:rPr>
          <w:rFonts w:asciiTheme="minorHAnsi" w:hAnsiTheme="minorHAnsi" w:cstheme="minorHAnsi"/>
          <w:b/>
        </w:rPr>
      </w:pPr>
      <w:r>
        <w:rPr>
          <w:rFonts w:asciiTheme="minorHAnsi" w:hAnsiTheme="minorHAnsi" w:cstheme="minorHAnsi"/>
          <w:b/>
        </w:rPr>
        <w:t>Meetings</w:t>
      </w:r>
    </w:p>
    <w:p w:rsidR="00D434A8" w:rsidRDefault="005B0FBA">
      <w:pPr>
        <w:pStyle w:val="ListParagraph"/>
        <w:numPr>
          <w:ilvl w:val="0"/>
          <w:numId w:val="2"/>
        </w:numPr>
        <w:rPr>
          <w:rFonts w:asciiTheme="minorHAnsi" w:hAnsiTheme="minorHAnsi" w:cstheme="minorHAnsi"/>
        </w:rPr>
      </w:pPr>
      <w:r>
        <w:rPr>
          <w:rFonts w:asciiTheme="minorHAnsi" w:hAnsiTheme="minorHAnsi" w:cstheme="minorHAnsi"/>
        </w:rPr>
        <w:t xml:space="preserve">Will be held </w:t>
      </w:r>
      <w:r w:rsidR="00D97DC8">
        <w:rPr>
          <w:rFonts w:asciiTheme="minorHAnsi" w:hAnsiTheme="minorHAnsi" w:cstheme="minorHAnsi"/>
        </w:rPr>
        <w:t xml:space="preserve">at least </w:t>
      </w:r>
      <w:r>
        <w:rPr>
          <w:rFonts w:asciiTheme="minorHAnsi" w:hAnsiTheme="minorHAnsi" w:cstheme="minorHAnsi"/>
        </w:rPr>
        <w:t>termly.  A calendar will be published at the beginning of the school year.  Additional meet</w:t>
      </w:r>
      <w:r w:rsidR="0020365D">
        <w:rPr>
          <w:rFonts w:asciiTheme="minorHAnsi" w:hAnsiTheme="minorHAnsi" w:cstheme="minorHAnsi"/>
        </w:rPr>
        <w:t>ings will be called if required;</w:t>
      </w:r>
    </w:p>
    <w:p w:rsidR="00D434A8" w:rsidRDefault="005B0FBA">
      <w:pPr>
        <w:pStyle w:val="ListParagraph"/>
        <w:numPr>
          <w:ilvl w:val="0"/>
          <w:numId w:val="2"/>
        </w:numPr>
        <w:rPr>
          <w:rFonts w:asciiTheme="minorHAnsi" w:hAnsiTheme="minorHAnsi" w:cstheme="minorHAnsi"/>
        </w:rPr>
      </w:pPr>
      <w:r>
        <w:rPr>
          <w:rFonts w:asciiTheme="minorHAnsi" w:hAnsiTheme="minorHAnsi" w:cstheme="minorHAnsi"/>
        </w:rPr>
        <w:t>Will not be open to the public but minutes will be available</w:t>
      </w:r>
      <w:r w:rsidR="00155E85">
        <w:rPr>
          <w:rFonts w:asciiTheme="minorHAnsi" w:hAnsiTheme="minorHAnsi" w:cstheme="minorHAnsi"/>
        </w:rPr>
        <w:t xml:space="preserve"> for inspection</w:t>
      </w:r>
      <w:r>
        <w:rPr>
          <w:rFonts w:asciiTheme="minorHAnsi" w:hAnsiTheme="minorHAnsi" w:cstheme="minorHAnsi"/>
        </w:rPr>
        <w:t>, except for Part II minutes which include details of staff and</w:t>
      </w:r>
      <w:r w:rsidR="0020365D">
        <w:rPr>
          <w:rFonts w:asciiTheme="minorHAnsi" w:hAnsiTheme="minorHAnsi" w:cstheme="minorHAnsi"/>
        </w:rPr>
        <w:t>/or pupils and are confidential;</w:t>
      </w:r>
    </w:p>
    <w:p w:rsidR="00D434A8" w:rsidRDefault="005B0FBA">
      <w:pPr>
        <w:pStyle w:val="ListParagraph"/>
        <w:numPr>
          <w:ilvl w:val="0"/>
          <w:numId w:val="2"/>
        </w:numPr>
        <w:rPr>
          <w:rFonts w:asciiTheme="minorHAnsi" w:hAnsiTheme="minorHAnsi" w:cstheme="minorHAnsi"/>
        </w:rPr>
      </w:pPr>
      <w:r>
        <w:rPr>
          <w:rFonts w:asciiTheme="minorHAnsi" w:hAnsiTheme="minorHAnsi" w:cstheme="minorHAnsi"/>
        </w:rPr>
        <w:t>Will be open to any member of the Governing Body that would like to attend.  Agendas will</w:t>
      </w:r>
      <w:r w:rsidR="0020365D">
        <w:rPr>
          <w:rFonts w:asciiTheme="minorHAnsi" w:hAnsiTheme="minorHAnsi" w:cstheme="minorHAnsi"/>
        </w:rPr>
        <w:t xml:space="preserve"> be circulated to all Governors;</w:t>
      </w:r>
    </w:p>
    <w:p w:rsidR="00D434A8" w:rsidRDefault="005B0FBA">
      <w:pPr>
        <w:pStyle w:val="ListParagraph"/>
        <w:numPr>
          <w:ilvl w:val="0"/>
          <w:numId w:val="2"/>
        </w:numPr>
        <w:rPr>
          <w:rFonts w:asciiTheme="minorHAnsi" w:hAnsiTheme="minorHAnsi" w:cstheme="minorHAnsi"/>
        </w:rPr>
      </w:pPr>
      <w:r>
        <w:rPr>
          <w:rFonts w:asciiTheme="minorHAnsi" w:hAnsiTheme="minorHAnsi" w:cstheme="minorHAnsi"/>
        </w:rPr>
        <w:t xml:space="preserve">Voting rights are restricted to the full members of the Committee.  </w:t>
      </w:r>
      <w:r w:rsidR="00D97DC8">
        <w:rPr>
          <w:rFonts w:asciiTheme="minorHAnsi" w:hAnsiTheme="minorHAnsi" w:cstheme="minorHAnsi"/>
        </w:rPr>
        <w:t>A</w:t>
      </w:r>
      <w:r>
        <w:rPr>
          <w:rFonts w:asciiTheme="minorHAnsi" w:hAnsiTheme="minorHAnsi" w:cstheme="minorHAnsi"/>
        </w:rPr>
        <w:t xml:space="preserve">ssociate members </w:t>
      </w:r>
      <w:r w:rsidR="00D97DC8">
        <w:rPr>
          <w:rFonts w:asciiTheme="minorHAnsi" w:hAnsiTheme="minorHAnsi" w:cstheme="minorHAnsi"/>
        </w:rPr>
        <w:t xml:space="preserve">and those co-opted to this group </w:t>
      </w:r>
      <w:r w:rsidR="0020365D">
        <w:rPr>
          <w:rFonts w:asciiTheme="minorHAnsi" w:hAnsiTheme="minorHAnsi" w:cstheme="minorHAnsi"/>
        </w:rPr>
        <w:t>have no voting rights;</w:t>
      </w:r>
    </w:p>
    <w:p w:rsidR="00D434A8" w:rsidRDefault="005B0FBA">
      <w:pPr>
        <w:pStyle w:val="ListParagraph"/>
        <w:numPr>
          <w:ilvl w:val="0"/>
          <w:numId w:val="2"/>
        </w:numPr>
        <w:rPr>
          <w:rFonts w:asciiTheme="minorHAnsi" w:hAnsiTheme="minorHAnsi" w:cstheme="minorHAnsi"/>
        </w:rPr>
      </w:pPr>
      <w:r>
        <w:rPr>
          <w:rFonts w:asciiTheme="minorHAnsi" w:hAnsiTheme="minorHAnsi" w:cstheme="minorHAnsi"/>
        </w:rPr>
        <w:t>In the event of a tied vote the Chair or Acting Chair shal</w:t>
      </w:r>
      <w:r w:rsidR="0020365D">
        <w:rPr>
          <w:rFonts w:asciiTheme="minorHAnsi" w:hAnsiTheme="minorHAnsi" w:cstheme="minorHAnsi"/>
        </w:rPr>
        <w:t>l have a second or casting vote;</w:t>
      </w:r>
    </w:p>
    <w:p w:rsidR="00D434A8" w:rsidRDefault="005B0FBA">
      <w:pPr>
        <w:pStyle w:val="ListParagraph"/>
        <w:numPr>
          <w:ilvl w:val="0"/>
          <w:numId w:val="2"/>
        </w:numPr>
        <w:rPr>
          <w:rFonts w:asciiTheme="minorHAnsi" w:hAnsiTheme="minorHAnsi" w:cstheme="minorHAnsi"/>
        </w:rPr>
      </w:pPr>
      <w:r>
        <w:rPr>
          <w:rFonts w:asciiTheme="minorHAnsi" w:hAnsiTheme="minorHAnsi" w:cstheme="minorHAnsi"/>
        </w:rPr>
        <w:t>Minutes will record those present, the date and any votes, decisions, action points</w:t>
      </w:r>
      <w:r w:rsidR="0020365D">
        <w:rPr>
          <w:rFonts w:asciiTheme="minorHAnsi" w:hAnsiTheme="minorHAnsi" w:cstheme="minorHAnsi"/>
        </w:rPr>
        <w:t>, recommendations or challenges;</w:t>
      </w:r>
    </w:p>
    <w:p w:rsidR="00155E85" w:rsidRDefault="00155E85" w:rsidP="00155E85">
      <w:pPr>
        <w:pStyle w:val="ListParagraph"/>
        <w:numPr>
          <w:ilvl w:val="0"/>
          <w:numId w:val="2"/>
        </w:numPr>
        <w:rPr>
          <w:rFonts w:asciiTheme="minorHAnsi" w:hAnsiTheme="minorHAnsi" w:cstheme="minorHAnsi"/>
        </w:rPr>
      </w:pPr>
      <w:r w:rsidRPr="004A14E8">
        <w:rPr>
          <w:rFonts w:asciiTheme="minorHAnsi" w:hAnsiTheme="minorHAnsi" w:cstheme="minorHAnsi"/>
        </w:rPr>
        <w:t xml:space="preserve">Minutes </w:t>
      </w:r>
      <w:r w:rsidR="00761884">
        <w:rPr>
          <w:rFonts w:asciiTheme="minorHAnsi" w:hAnsiTheme="minorHAnsi" w:cstheme="minorHAnsi"/>
        </w:rPr>
        <w:t>should</w:t>
      </w:r>
      <w:r>
        <w:rPr>
          <w:rFonts w:asciiTheme="minorHAnsi" w:hAnsiTheme="minorHAnsi" w:cstheme="minorHAnsi"/>
        </w:rPr>
        <w:t xml:space="preserve"> be </w:t>
      </w:r>
      <w:r w:rsidRPr="004A14E8">
        <w:rPr>
          <w:rFonts w:asciiTheme="minorHAnsi" w:hAnsiTheme="minorHAnsi" w:cstheme="minorHAnsi"/>
        </w:rPr>
        <w:t xml:space="preserve">produced </w:t>
      </w:r>
      <w:r w:rsidR="00761884">
        <w:rPr>
          <w:rFonts w:asciiTheme="minorHAnsi" w:hAnsiTheme="minorHAnsi" w:cstheme="minorHAnsi"/>
        </w:rPr>
        <w:t>within 15 working days</w:t>
      </w:r>
      <w:r>
        <w:rPr>
          <w:rFonts w:asciiTheme="minorHAnsi" w:hAnsiTheme="minorHAnsi" w:cstheme="minorHAnsi"/>
        </w:rPr>
        <w:t xml:space="preserve"> </w:t>
      </w:r>
      <w:r w:rsidRPr="004A14E8">
        <w:rPr>
          <w:rFonts w:asciiTheme="minorHAnsi" w:hAnsiTheme="minorHAnsi" w:cstheme="minorHAnsi"/>
        </w:rPr>
        <w:t xml:space="preserve">following the meeting </w:t>
      </w:r>
      <w:r>
        <w:rPr>
          <w:rFonts w:asciiTheme="minorHAnsi" w:hAnsiTheme="minorHAnsi" w:cstheme="minorHAnsi"/>
        </w:rPr>
        <w:t xml:space="preserve">and </w:t>
      </w:r>
      <w:r w:rsidRPr="004A14E8">
        <w:rPr>
          <w:rFonts w:asciiTheme="minorHAnsi" w:hAnsiTheme="minorHAnsi" w:cstheme="minorHAnsi"/>
        </w:rPr>
        <w:t xml:space="preserve">will be sent to the Committee by email for </w:t>
      </w:r>
      <w:r>
        <w:rPr>
          <w:rFonts w:asciiTheme="minorHAnsi" w:hAnsiTheme="minorHAnsi" w:cstheme="minorHAnsi"/>
        </w:rPr>
        <w:t>comment and update as necessary</w:t>
      </w:r>
      <w:r w:rsidRPr="004A14E8">
        <w:rPr>
          <w:rFonts w:asciiTheme="minorHAnsi" w:hAnsiTheme="minorHAnsi" w:cstheme="minorHAnsi"/>
        </w:rPr>
        <w:t xml:space="preserve">.  Minutes will be formally approved at the </w:t>
      </w:r>
      <w:r>
        <w:rPr>
          <w:rFonts w:asciiTheme="minorHAnsi" w:hAnsiTheme="minorHAnsi" w:cstheme="minorHAnsi"/>
        </w:rPr>
        <w:t>next</w:t>
      </w:r>
      <w:r w:rsidR="0020365D">
        <w:rPr>
          <w:rFonts w:asciiTheme="minorHAnsi" w:hAnsiTheme="minorHAnsi" w:cstheme="minorHAnsi"/>
        </w:rPr>
        <w:t xml:space="preserve"> Committee meeting;</w:t>
      </w:r>
    </w:p>
    <w:p w:rsidR="00D434A8" w:rsidRPr="00B858C2" w:rsidRDefault="005B0FBA">
      <w:pPr>
        <w:pStyle w:val="ListParagraph"/>
        <w:numPr>
          <w:ilvl w:val="0"/>
          <w:numId w:val="2"/>
        </w:numPr>
        <w:rPr>
          <w:rFonts w:asciiTheme="minorHAnsi" w:hAnsiTheme="minorHAnsi" w:cstheme="minorHAnsi"/>
        </w:rPr>
      </w:pPr>
      <w:r>
        <w:rPr>
          <w:rFonts w:asciiTheme="minorHAnsi" w:hAnsiTheme="minorHAnsi" w:cstheme="minorHAnsi"/>
        </w:rPr>
        <w:t>All agreed actions and decisions will be repor</w:t>
      </w:r>
      <w:r w:rsidR="00B858C2">
        <w:rPr>
          <w:rFonts w:asciiTheme="minorHAnsi" w:hAnsiTheme="minorHAnsi" w:cstheme="minorHAnsi"/>
        </w:rPr>
        <w:t>ted to the next meeting of the F</w:t>
      </w:r>
      <w:r>
        <w:rPr>
          <w:rFonts w:asciiTheme="minorHAnsi" w:hAnsiTheme="minorHAnsi" w:cstheme="minorHAnsi"/>
        </w:rPr>
        <w:t>ull Governing Body</w:t>
      </w:r>
      <w:r w:rsidR="00155E85">
        <w:rPr>
          <w:rFonts w:asciiTheme="minorHAnsi" w:hAnsiTheme="minorHAnsi" w:cstheme="minorHAnsi"/>
        </w:rPr>
        <w:t>,</w:t>
      </w:r>
      <w:r>
        <w:rPr>
          <w:rFonts w:asciiTheme="minorHAnsi" w:hAnsiTheme="minorHAnsi" w:cstheme="minorHAnsi"/>
        </w:rPr>
        <w:t xml:space="preserve"> with a copy of the minutes of the Committee distributed to all Governors as soon as possible after their approval.  Items that are deemed confidential by the Committee shall be recorded in a separate minute and</w:t>
      </w:r>
      <w:r w:rsidR="00155E85">
        <w:rPr>
          <w:rFonts w:asciiTheme="minorHAnsi" w:hAnsiTheme="minorHAnsi" w:cstheme="minorHAnsi"/>
        </w:rPr>
        <w:t xml:space="preserve"> reported verbally at the next F</w:t>
      </w:r>
      <w:r>
        <w:rPr>
          <w:rFonts w:asciiTheme="minorHAnsi" w:hAnsiTheme="minorHAnsi" w:cstheme="minorHAnsi"/>
        </w:rPr>
        <w:t xml:space="preserve">ull Governing Body </w:t>
      </w:r>
      <w:r w:rsidRPr="00B858C2">
        <w:rPr>
          <w:rFonts w:asciiTheme="minorHAnsi" w:hAnsiTheme="minorHAnsi" w:cstheme="minorHAnsi"/>
        </w:rPr>
        <w:t xml:space="preserve">meeting.  </w:t>
      </w:r>
      <w:r w:rsidR="00B858C2" w:rsidRPr="00B858C2">
        <w:rPr>
          <w:rFonts w:asciiTheme="minorHAnsi" w:hAnsiTheme="minorHAnsi" w:cstheme="minorHAnsi"/>
        </w:rPr>
        <w:t>Any such confidential item does</w:t>
      </w:r>
      <w:r w:rsidRPr="00B858C2">
        <w:rPr>
          <w:rFonts w:asciiTheme="minorHAnsi" w:hAnsiTheme="minorHAnsi" w:cstheme="minorHAnsi"/>
        </w:rPr>
        <w:t xml:space="preserve"> not have to be made available for inspection.</w:t>
      </w:r>
    </w:p>
    <w:p w:rsidR="00D434A8" w:rsidRDefault="00D434A8">
      <w:pPr>
        <w:rPr>
          <w:rFonts w:asciiTheme="minorHAnsi" w:hAnsiTheme="minorHAnsi" w:cstheme="minorHAnsi"/>
        </w:rPr>
      </w:pPr>
    </w:p>
    <w:p w:rsidR="00D434A8" w:rsidRDefault="005B0FBA">
      <w:pPr>
        <w:overflowPunct/>
        <w:autoSpaceDE/>
        <w:autoSpaceDN/>
        <w:adjustRightInd/>
        <w:textAlignment w:val="auto"/>
        <w:rPr>
          <w:rFonts w:asciiTheme="minorHAnsi" w:hAnsiTheme="minorHAnsi" w:cstheme="minorHAnsi"/>
          <w:b/>
        </w:rPr>
      </w:pPr>
      <w:r>
        <w:rPr>
          <w:rFonts w:asciiTheme="minorHAnsi" w:hAnsiTheme="minorHAnsi" w:cstheme="minorHAnsi"/>
          <w:b/>
        </w:rPr>
        <w:br w:type="page"/>
      </w:r>
    </w:p>
    <w:p w:rsidR="00D434A8" w:rsidRDefault="005B0FBA">
      <w:pPr>
        <w:rPr>
          <w:rFonts w:asciiTheme="minorHAnsi" w:hAnsiTheme="minorHAnsi" w:cstheme="minorHAnsi"/>
          <w:b/>
        </w:rPr>
      </w:pPr>
      <w:r>
        <w:rPr>
          <w:rFonts w:asciiTheme="minorHAnsi" w:hAnsiTheme="minorHAnsi" w:cstheme="minorHAnsi"/>
          <w:b/>
        </w:rPr>
        <w:lastRenderedPageBreak/>
        <w:t>General Terms</w:t>
      </w:r>
    </w:p>
    <w:p w:rsidR="00D434A8" w:rsidRDefault="005B0FBA">
      <w:pPr>
        <w:pStyle w:val="ListParagraph"/>
        <w:numPr>
          <w:ilvl w:val="0"/>
          <w:numId w:val="3"/>
        </w:numPr>
        <w:rPr>
          <w:rFonts w:asciiTheme="minorHAnsi" w:hAnsiTheme="minorHAnsi" w:cstheme="minorHAnsi"/>
        </w:rPr>
      </w:pPr>
      <w:r>
        <w:rPr>
          <w:rFonts w:asciiTheme="minorHAnsi" w:hAnsiTheme="minorHAnsi" w:cstheme="minorHAnsi"/>
        </w:rPr>
        <w:t>To a</w:t>
      </w:r>
      <w:r w:rsidR="001578C5">
        <w:rPr>
          <w:rFonts w:asciiTheme="minorHAnsi" w:hAnsiTheme="minorHAnsi" w:cstheme="minorHAnsi"/>
        </w:rPr>
        <w:t>ct on matters delegated by the F</w:t>
      </w:r>
      <w:r>
        <w:rPr>
          <w:rFonts w:asciiTheme="minorHAnsi" w:hAnsiTheme="minorHAnsi" w:cstheme="minorHAnsi"/>
        </w:rPr>
        <w:t xml:space="preserve">ull Governing Body.  The matters that follow are delegated in full to the </w:t>
      </w:r>
      <w:r w:rsidR="00D97DC8">
        <w:rPr>
          <w:rFonts w:asciiTheme="minorHAnsi" w:hAnsiTheme="minorHAnsi" w:cstheme="minorHAnsi"/>
        </w:rPr>
        <w:t>QAC</w:t>
      </w:r>
      <w:r w:rsidR="0020365D">
        <w:rPr>
          <w:rFonts w:asciiTheme="minorHAnsi" w:hAnsiTheme="minorHAnsi" w:cstheme="minorHAnsi"/>
        </w:rPr>
        <w:t>;</w:t>
      </w:r>
    </w:p>
    <w:p w:rsidR="00DA54C0" w:rsidRDefault="00DA54C0" w:rsidP="00DA54C0">
      <w:pPr>
        <w:pStyle w:val="ListParagraph"/>
        <w:numPr>
          <w:ilvl w:val="0"/>
          <w:numId w:val="3"/>
        </w:numPr>
        <w:rPr>
          <w:rFonts w:asciiTheme="minorHAnsi" w:hAnsiTheme="minorHAnsi" w:cstheme="minorHAnsi"/>
        </w:rPr>
      </w:pPr>
      <w:r>
        <w:rPr>
          <w:rFonts w:asciiTheme="minorHAnsi" w:hAnsiTheme="minorHAnsi" w:cstheme="minorHAnsi"/>
        </w:rPr>
        <w:t xml:space="preserve">To be </w:t>
      </w:r>
      <w:r w:rsidRPr="004949CB">
        <w:rPr>
          <w:rFonts w:asciiTheme="minorHAnsi" w:hAnsiTheme="minorHAnsi" w:cstheme="minorHAnsi"/>
        </w:rPr>
        <w:t>responsible for producing an annual work program</w:t>
      </w:r>
      <w:r>
        <w:rPr>
          <w:rFonts w:asciiTheme="minorHAnsi" w:hAnsiTheme="minorHAnsi" w:cstheme="minorHAnsi"/>
        </w:rPr>
        <w:t xml:space="preserve"> for the Committee;</w:t>
      </w:r>
    </w:p>
    <w:p w:rsidR="00D434A8" w:rsidRDefault="005B0FBA">
      <w:pPr>
        <w:pStyle w:val="ListParagraph"/>
        <w:numPr>
          <w:ilvl w:val="0"/>
          <w:numId w:val="3"/>
        </w:numPr>
        <w:rPr>
          <w:rFonts w:asciiTheme="minorHAnsi" w:hAnsiTheme="minorHAnsi" w:cstheme="minorHAnsi"/>
        </w:rPr>
      </w:pPr>
      <w:r>
        <w:rPr>
          <w:rFonts w:asciiTheme="minorHAnsi" w:hAnsiTheme="minorHAnsi" w:cstheme="minorHAnsi"/>
        </w:rPr>
        <w:t>To liaise and consult with oth</w:t>
      </w:r>
      <w:r w:rsidR="0020365D">
        <w:rPr>
          <w:rFonts w:asciiTheme="minorHAnsi" w:hAnsiTheme="minorHAnsi" w:cstheme="minorHAnsi"/>
        </w:rPr>
        <w:t>er Committees where necessary;</w:t>
      </w:r>
    </w:p>
    <w:p w:rsidR="00D434A8" w:rsidRDefault="005B0FBA">
      <w:pPr>
        <w:pStyle w:val="ListParagraph"/>
        <w:numPr>
          <w:ilvl w:val="0"/>
          <w:numId w:val="3"/>
        </w:numPr>
        <w:rPr>
          <w:rFonts w:asciiTheme="minorHAnsi" w:hAnsiTheme="minorHAnsi" w:cstheme="minorHAnsi"/>
        </w:rPr>
      </w:pPr>
      <w:r>
        <w:rPr>
          <w:rFonts w:asciiTheme="minorHAnsi" w:hAnsiTheme="minorHAnsi" w:cstheme="minorHAnsi"/>
        </w:rPr>
        <w:t>To ensure the Governors have a clear understanding of the vision and aims, strengths and weaknesses of the school so they can effectively contribute to the sch</w:t>
      </w:r>
      <w:r w:rsidR="0020365D">
        <w:rPr>
          <w:rFonts w:asciiTheme="minorHAnsi" w:hAnsiTheme="minorHAnsi" w:cstheme="minorHAnsi"/>
        </w:rPr>
        <w:t>ools’ self-evaluation processes;</w:t>
      </w:r>
    </w:p>
    <w:p w:rsidR="00D434A8" w:rsidRDefault="005B0FBA">
      <w:pPr>
        <w:pStyle w:val="ListParagraph"/>
        <w:numPr>
          <w:ilvl w:val="0"/>
          <w:numId w:val="3"/>
        </w:numPr>
        <w:rPr>
          <w:rFonts w:asciiTheme="minorHAnsi" w:hAnsiTheme="minorHAnsi" w:cstheme="minorHAnsi"/>
        </w:rPr>
      </w:pPr>
      <w:r>
        <w:rPr>
          <w:rFonts w:asciiTheme="minorHAnsi" w:hAnsiTheme="minorHAnsi" w:cstheme="minorHAnsi"/>
        </w:rPr>
        <w:t xml:space="preserve">To contribute to the </w:t>
      </w:r>
      <w:r w:rsidR="00D97DC8">
        <w:rPr>
          <w:rFonts w:asciiTheme="minorHAnsi" w:hAnsiTheme="minorHAnsi" w:cstheme="minorHAnsi"/>
        </w:rPr>
        <w:t xml:space="preserve">SEF and </w:t>
      </w:r>
      <w:r>
        <w:rPr>
          <w:rFonts w:asciiTheme="minorHAnsi" w:hAnsiTheme="minorHAnsi" w:cstheme="minorHAnsi"/>
        </w:rPr>
        <w:t>School Development Plan, setting the strategic directions and, in conjunction with senior leaders, setting</w:t>
      </w:r>
      <w:r w:rsidR="0020365D">
        <w:rPr>
          <w:rFonts w:asciiTheme="minorHAnsi" w:hAnsiTheme="minorHAnsi" w:cstheme="minorHAnsi"/>
        </w:rPr>
        <w:t xml:space="preserve"> the priorities for the schools;</w:t>
      </w:r>
    </w:p>
    <w:p w:rsidR="00D434A8" w:rsidRDefault="005B0FBA">
      <w:pPr>
        <w:pStyle w:val="ListParagraph"/>
        <w:numPr>
          <w:ilvl w:val="0"/>
          <w:numId w:val="3"/>
        </w:numPr>
        <w:rPr>
          <w:rFonts w:asciiTheme="minorHAnsi" w:hAnsiTheme="minorHAnsi" w:cstheme="minorHAnsi"/>
          <w:i/>
        </w:rPr>
      </w:pPr>
      <w:r>
        <w:rPr>
          <w:rFonts w:asciiTheme="minorHAnsi" w:hAnsiTheme="minorHAnsi" w:cstheme="minorHAnsi"/>
          <w:i/>
        </w:rPr>
        <w:t xml:space="preserve">Although primary responsibilities for Health &amp; Safety and Safeguarding are delegated to the </w:t>
      </w:r>
      <w:r w:rsidR="00D97DC8">
        <w:rPr>
          <w:rFonts w:asciiTheme="minorHAnsi" w:hAnsiTheme="minorHAnsi" w:cstheme="minorHAnsi"/>
          <w:i/>
        </w:rPr>
        <w:t>FRC</w:t>
      </w:r>
      <w:r>
        <w:rPr>
          <w:rFonts w:asciiTheme="minorHAnsi" w:hAnsiTheme="minorHAnsi" w:cstheme="minorHAnsi"/>
          <w:i/>
        </w:rPr>
        <w:t xml:space="preserve">, all committees are expected to consider these when undertaking all Committee functions </w:t>
      </w:r>
      <w:r w:rsidR="0020365D">
        <w:rPr>
          <w:rFonts w:asciiTheme="minorHAnsi" w:hAnsiTheme="minorHAnsi" w:cstheme="minorHAnsi"/>
          <w:i/>
        </w:rPr>
        <w:t>and whilst making any decisions;</w:t>
      </w:r>
    </w:p>
    <w:p w:rsidR="00D434A8" w:rsidRDefault="005B0FBA">
      <w:pPr>
        <w:pStyle w:val="ListParagraph"/>
        <w:numPr>
          <w:ilvl w:val="0"/>
          <w:numId w:val="3"/>
        </w:numPr>
        <w:rPr>
          <w:rFonts w:asciiTheme="minorHAnsi" w:hAnsiTheme="minorHAnsi" w:cstheme="minorHAnsi"/>
        </w:rPr>
      </w:pPr>
      <w:r>
        <w:rPr>
          <w:rFonts w:asciiTheme="minorHAnsi" w:hAnsiTheme="minorHAnsi" w:cstheme="minorHAnsi"/>
        </w:rPr>
        <w:t>To act as an analytical partner for all staff and prov</w:t>
      </w:r>
      <w:r w:rsidR="0020365D">
        <w:rPr>
          <w:rFonts w:asciiTheme="minorHAnsi" w:hAnsiTheme="minorHAnsi" w:cstheme="minorHAnsi"/>
        </w:rPr>
        <w:t>ide challenge to school leaders;</w:t>
      </w:r>
    </w:p>
    <w:p w:rsidR="00D434A8" w:rsidRDefault="005B0FBA">
      <w:pPr>
        <w:pStyle w:val="ListParagraph"/>
        <w:numPr>
          <w:ilvl w:val="0"/>
          <w:numId w:val="3"/>
        </w:numPr>
        <w:rPr>
          <w:rFonts w:asciiTheme="minorHAnsi" w:hAnsiTheme="minorHAnsi" w:cstheme="minorHAnsi"/>
        </w:rPr>
      </w:pPr>
      <w:r>
        <w:rPr>
          <w:rFonts w:asciiTheme="minorHAnsi" w:hAnsiTheme="minorHAnsi" w:cstheme="minorHAnsi"/>
        </w:rPr>
        <w:t xml:space="preserve">Any decisions which require a spending commitment over and above agreed budget provision must be referred to the </w:t>
      </w:r>
      <w:r w:rsidR="00D97DC8">
        <w:rPr>
          <w:rFonts w:asciiTheme="minorHAnsi" w:hAnsiTheme="minorHAnsi" w:cstheme="minorHAnsi"/>
        </w:rPr>
        <w:t>FRC</w:t>
      </w:r>
      <w:r w:rsidR="0020365D">
        <w:rPr>
          <w:rFonts w:asciiTheme="minorHAnsi" w:hAnsiTheme="minorHAnsi" w:cstheme="minorHAnsi"/>
        </w:rPr>
        <w:t>;</w:t>
      </w:r>
    </w:p>
    <w:p w:rsidR="00D434A8" w:rsidRDefault="005B0FBA">
      <w:pPr>
        <w:pStyle w:val="ListParagraph"/>
        <w:numPr>
          <w:ilvl w:val="0"/>
          <w:numId w:val="3"/>
        </w:numPr>
        <w:rPr>
          <w:rFonts w:asciiTheme="minorHAnsi" w:hAnsiTheme="minorHAnsi" w:cstheme="minorHAnsi"/>
        </w:rPr>
      </w:pPr>
      <w:r>
        <w:rPr>
          <w:rFonts w:asciiTheme="minorHAnsi" w:hAnsiTheme="minorHAnsi" w:cstheme="minorHAnsi"/>
        </w:rPr>
        <w:t>Ensure equal opportunitie</w:t>
      </w:r>
      <w:r w:rsidR="0020365D">
        <w:rPr>
          <w:rFonts w:asciiTheme="minorHAnsi" w:hAnsiTheme="minorHAnsi" w:cstheme="minorHAnsi"/>
        </w:rPr>
        <w:t>s and promote inclusion for all;</w:t>
      </w:r>
    </w:p>
    <w:p w:rsidR="00D97DC8" w:rsidRDefault="00D97DC8">
      <w:pPr>
        <w:pStyle w:val="ListParagraph"/>
        <w:numPr>
          <w:ilvl w:val="0"/>
          <w:numId w:val="3"/>
        </w:numPr>
        <w:rPr>
          <w:rFonts w:asciiTheme="minorHAnsi" w:hAnsiTheme="minorHAnsi" w:cstheme="minorHAnsi"/>
        </w:rPr>
      </w:pPr>
      <w:r>
        <w:rPr>
          <w:rFonts w:asciiTheme="minorHAnsi" w:hAnsiTheme="minorHAnsi" w:cstheme="minorHAnsi"/>
        </w:rPr>
        <w:t>Reviewing progress against equality objective action plan.</w:t>
      </w:r>
    </w:p>
    <w:p w:rsidR="00D434A8" w:rsidRDefault="00D434A8">
      <w:pPr>
        <w:rPr>
          <w:rFonts w:asciiTheme="minorHAnsi" w:hAnsiTheme="minorHAnsi" w:cstheme="minorHAnsi"/>
        </w:rPr>
      </w:pPr>
    </w:p>
    <w:p w:rsidR="00D434A8" w:rsidRDefault="005B0FBA">
      <w:pPr>
        <w:rPr>
          <w:rFonts w:asciiTheme="minorHAnsi" w:hAnsiTheme="minorHAnsi" w:cstheme="minorHAnsi"/>
          <w:b/>
        </w:rPr>
      </w:pPr>
      <w:r>
        <w:rPr>
          <w:rFonts w:asciiTheme="minorHAnsi" w:hAnsiTheme="minorHAnsi" w:cstheme="minorHAnsi"/>
          <w:b/>
        </w:rPr>
        <w:t>Specific Terms</w:t>
      </w:r>
    </w:p>
    <w:p w:rsidR="00D434A8" w:rsidRDefault="005B0FBA">
      <w:pPr>
        <w:rPr>
          <w:rFonts w:asciiTheme="minorHAnsi" w:hAnsiTheme="minorHAnsi" w:cstheme="minorHAnsi"/>
          <w:b/>
        </w:rPr>
      </w:pPr>
      <w:r>
        <w:rPr>
          <w:rFonts w:asciiTheme="minorHAnsi" w:hAnsiTheme="minorHAnsi" w:cstheme="minorHAnsi"/>
          <w:b/>
        </w:rPr>
        <w:t>Pupil Outcomes</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To assist the Governing Body in fulfilling its responsibilities to ensure the overall aim and focus of the school is to provide the highest quality of provision to support the developm</w:t>
      </w:r>
      <w:r w:rsidR="00C8313B">
        <w:rPr>
          <w:rFonts w:asciiTheme="minorHAnsi" w:hAnsiTheme="minorHAnsi" w:cstheme="minorHAnsi"/>
        </w:rPr>
        <w:t>ent of all pupils in the school</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Monitor closely and evaluate the standards and achievement of pupils and the quality of the education provided</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Discuss the targets set for all cohorts to ensure they are as aspirational as possible for all pupils</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Provide strategic and in depth monitoring, questioning and advice, so ensuring that each child makes at least the required progress and develops to reach his or her full potential</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Identify underachieving pupils and ensure appropriate actions are taken</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Monitor the impact of proposed and completed interventions, ensuring focus on ‘closing the gap’</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Monitor and evaluate the schools provision for vulnerable groups and pupil progress in relation to the targets set with specific reference to those groups, particularly Pupil Premium and More Able</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Ensure the requirements of children with Special Educational Needs and Disability and Looked After Children are met</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Monitor the provision of the schools’ Local Offer for pupils with SEND</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Receive and critically review school performance data including any provided by the Local Authority, Data Dashboard, RAISE Online and any other external sources</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Ensure all Governors have a good understanding of the pupil achievement in relations to national standards and schools nationally</w:t>
      </w:r>
      <w:r w:rsidR="0020365D">
        <w:rPr>
          <w:rFonts w:asciiTheme="minorHAnsi" w:hAnsiTheme="minorHAnsi" w:cstheme="minorHAnsi"/>
        </w:rPr>
        <w:t>.</w:t>
      </w:r>
    </w:p>
    <w:p w:rsidR="004D5496" w:rsidRDefault="004D5496">
      <w:pPr>
        <w:rPr>
          <w:rFonts w:asciiTheme="minorHAnsi" w:hAnsiTheme="minorHAnsi" w:cstheme="minorHAnsi"/>
          <w:b/>
        </w:rPr>
      </w:pPr>
    </w:p>
    <w:p w:rsidR="00D434A8" w:rsidRDefault="005B0FBA">
      <w:pPr>
        <w:rPr>
          <w:rFonts w:asciiTheme="minorHAnsi" w:hAnsiTheme="minorHAnsi" w:cstheme="minorHAnsi"/>
          <w:b/>
        </w:rPr>
      </w:pPr>
      <w:r>
        <w:rPr>
          <w:rFonts w:asciiTheme="minorHAnsi" w:hAnsiTheme="minorHAnsi" w:cstheme="minorHAnsi"/>
          <w:b/>
        </w:rPr>
        <w:t>Teaching Profile, Curriculum &amp; Assessment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Receive and critically review reports from the Executive Principal and Heads of School on the monitoring of the quality of teaching and learning and how it is impacting on key improvement priorities identified in the School Development Plan</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Review any reports as and when requested from key staff such as curriculum leaders, phase leaders or senior leaders</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Monitor progress in meeting key issues identified by any external monitori</w:t>
      </w:r>
      <w:r w:rsidR="0020365D">
        <w:rPr>
          <w:rFonts w:asciiTheme="minorHAnsi" w:hAnsiTheme="minorHAnsi" w:cstheme="minorHAnsi"/>
        </w:rPr>
        <w:t>ng including the SIP and Ofsted;</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Monitor the impact of the Curriculum Policy and the Teaching and Learning Policy on pupils’ learning and achievement</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Monitor the depth, breadth, balance and challenge of the curriculum offer</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lastRenderedPageBreak/>
        <w:t>Take account of whether there has been a positive impact on pupils from any decisions taken by this Committee</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Review regularly the Assessment a</w:t>
      </w:r>
      <w:r w:rsidR="00D97DC8">
        <w:rPr>
          <w:rFonts w:asciiTheme="minorHAnsi" w:hAnsiTheme="minorHAnsi" w:cstheme="minorHAnsi"/>
        </w:rPr>
        <w:t>nd Marking and Feedback Policy</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Review and evaluate the quality of teaching and learning, provision in Early Years, the impact of pupil involvement in school, such as School Council, quality of PHSE provision</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Review and evaluate the implementation of policies for collective Worship a</w:t>
      </w:r>
      <w:r w:rsidR="0020365D">
        <w:rPr>
          <w:rFonts w:asciiTheme="minorHAnsi" w:hAnsiTheme="minorHAnsi" w:cstheme="minorHAnsi"/>
        </w:rPr>
        <w:t>nd Sex &amp; Relationship Education;</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Provide information to the full Governing Body about how the curriculum is taught, evaluated and resourced and on pupil attainment and progress</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To assist the Governing Body to fulfil its sch</w:t>
      </w:r>
      <w:r w:rsidR="0020365D">
        <w:rPr>
          <w:rFonts w:asciiTheme="minorHAnsi" w:hAnsiTheme="minorHAnsi" w:cstheme="minorHAnsi"/>
        </w:rPr>
        <w:t>ool curriculum responsibilities;</w:t>
      </w:r>
    </w:p>
    <w:p w:rsidR="00D97DC8" w:rsidRDefault="00D97DC8">
      <w:pPr>
        <w:pStyle w:val="ListParagraph"/>
        <w:numPr>
          <w:ilvl w:val="0"/>
          <w:numId w:val="4"/>
        </w:numPr>
        <w:rPr>
          <w:rFonts w:asciiTheme="minorHAnsi" w:hAnsiTheme="minorHAnsi" w:cstheme="minorHAnsi"/>
        </w:rPr>
      </w:pPr>
      <w:r>
        <w:rPr>
          <w:rFonts w:asciiTheme="minorHAnsi" w:hAnsiTheme="minorHAnsi" w:cstheme="minorHAnsi"/>
        </w:rPr>
        <w:t>Agree performance targets of teachers</w:t>
      </w:r>
      <w:r w:rsidR="0020365D">
        <w:rPr>
          <w:rFonts w:asciiTheme="minorHAnsi" w:hAnsiTheme="minorHAnsi" w:cstheme="minorHAnsi"/>
        </w:rPr>
        <w:t>.</w:t>
      </w:r>
    </w:p>
    <w:p w:rsidR="004D5496" w:rsidRDefault="004D5496">
      <w:pPr>
        <w:rPr>
          <w:rFonts w:asciiTheme="minorHAnsi" w:hAnsiTheme="minorHAnsi" w:cstheme="minorHAnsi"/>
          <w:b/>
        </w:rPr>
      </w:pPr>
    </w:p>
    <w:p w:rsidR="00D434A8" w:rsidRDefault="005B0FBA">
      <w:pPr>
        <w:rPr>
          <w:rFonts w:asciiTheme="minorHAnsi" w:hAnsiTheme="minorHAnsi" w:cstheme="minorHAnsi"/>
          <w:b/>
        </w:rPr>
      </w:pPr>
      <w:r>
        <w:rPr>
          <w:rFonts w:asciiTheme="minorHAnsi" w:hAnsiTheme="minorHAnsi" w:cstheme="minorHAnsi"/>
          <w:b/>
        </w:rPr>
        <w:t>Attendance, Behaviour &amp; Well-being</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Review and evaluate in detail attendance and behaviour and the impact of relevant policies and procedures</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Oversee the arrangements of educational visits and discuss their impact on learning</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Monitor the impact of enrichment activities including visitors, activities and clubs</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Monitor the schools work with parental involvement</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Analyse parental questionnaires and receive parent views and ensure these are reflected in the School Development Plan</w:t>
      </w:r>
      <w:r w:rsidR="0020365D">
        <w:rPr>
          <w:rFonts w:asciiTheme="minorHAnsi" w:hAnsiTheme="minorHAnsi" w:cstheme="minorHAnsi"/>
        </w:rPr>
        <w: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Monitor the schools’ activities in</w:t>
      </w:r>
      <w:r w:rsidR="0020365D">
        <w:rPr>
          <w:rFonts w:asciiTheme="minorHAnsi" w:hAnsiTheme="minorHAnsi" w:cstheme="minorHAnsi"/>
        </w:rPr>
        <w:t xml:space="preserve"> relation to the Equalities Act;</w:t>
      </w:r>
    </w:p>
    <w:p w:rsidR="00D434A8" w:rsidRDefault="005B0FBA">
      <w:pPr>
        <w:pStyle w:val="ListParagraph"/>
        <w:numPr>
          <w:ilvl w:val="0"/>
          <w:numId w:val="4"/>
        </w:numPr>
        <w:rPr>
          <w:rFonts w:asciiTheme="minorHAnsi" w:hAnsiTheme="minorHAnsi" w:cstheme="minorHAnsi"/>
        </w:rPr>
      </w:pPr>
      <w:r>
        <w:rPr>
          <w:rFonts w:asciiTheme="minorHAnsi" w:hAnsiTheme="minorHAnsi" w:cstheme="minorHAnsi"/>
        </w:rPr>
        <w:t>Identify and celebrate pupil achievements</w:t>
      </w:r>
      <w:r w:rsidR="0020365D">
        <w:rPr>
          <w:rFonts w:asciiTheme="minorHAnsi" w:hAnsiTheme="minorHAnsi" w:cstheme="minorHAnsi"/>
        </w:rPr>
        <w:t>;</w:t>
      </w:r>
    </w:p>
    <w:p w:rsidR="00D434A8" w:rsidRDefault="004D5496">
      <w:pPr>
        <w:pStyle w:val="ListParagraph"/>
        <w:numPr>
          <w:ilvl w:val="0"/>
          <w:numId w:val="4"/>
        </w:numPr>
        <w:rPr>
          <w:rFonts w:asciiTheme="minorHAnsi" w:hAnsiTheme="minorHAnsi" w:cstheme="minorHAnsi"/>
        </w:rPr>
      </w:pPr>
      <w:r>
        <w:rPr>
          <w:rFonts w:asciiTheme="minorHAnsi" w:hAnsiTheme="minorHAnsi" w:cstheme="minorHAnsi"/>
        </w:rPr>
        <w:t xml:space="preserve">Liaise with the </w:t>
      </w:r>
      <w:r w:rsidR="00D97DC8">
        <w:rPr>
          <w:rFonts w:asciiTheme="minorHAnsi" w:hAnsiTheme="minorHAnsi" w:cstheme="minorHAnsi"/>
        </w:rPr>
        <w:t>FRC</w:t>
      </w:r>
      <w:r w:rsidR="005B0FBA">
        <w:rPr>
          <w:rFonts w:asciiTheme="minorHAnsi" w:hAnsiTheme="minorHAnsi" w:cstheme="minorHAnsi"/>
        </w:rPr>
        <w:t xml:space="preserve"> on funding priorities necessary to deliver the curriculum</w:t>
      </w:r>
      <w:r w:rsidR="0020365D">
        <w:rPr>
          <w:rFonts w:asciiTheme="minorHAnsi" w:hAnsiTheme="minorHAnsi" w:cstheme="minorHAnsi"/>
        </w:rPr>
        <w:t>.</w:t>
      </w:r>
    </w:p>
    <w:p w:rsidR="00D434A8" w:rsidRDefault="00D434A8">
      <w:pPr>
        <w:rPr>
          <w:rFonts w:asciiTheme="minorHAnsi" w:hAnsiTheme="minorHAnsi" w:cstheme="minorHAnsi"/>
        </w:rPr>
      </w:pPr>
    </w:p>
    <w:p w:rsidR="00D434A8" w:rsidRDefault="005B0FBA">
      <w:pPr>
        <w:rPr>
          <w:rFonts w:asciiTheme="minorHAnsi" w:hAnsiTheme="minorHAnsi" w:cstheme="minorHAnsi"/>
        </w:rPr>
      </w:pPr>
      <w:r>
        <w:rPr>
          <w:rFonts w:asciiTheme="minorHAnsi" w:hAnsiTheme="minorHAnsi" w:cstheme="minorHAnsi"/>
        </w:rPr>
        <w:t xml:space="preserve">The Executive Principal has the authority to make decisions if a delay in making that decision is likely to be detrimental to the interests of the school, a pupil at the school or their parents, or a person that works at the school. </w:t>
      </w:r>
    </w:p>
    <w:p w:rsidR="0020365D" w:rsidRDefault="0020365D">
      <w:pPr>
        <w:rPr>
          <w:rFonts w:asciiTheme="minorHAnsi" w:hAnsiTheme="minorHAnsi" w:cstheme="minorHAnsi"/>
        </w:rPr>
      </w:pPr>
    </w:p>
    <w:p w:rsidR="0020365D" w:rsidRDefault="0020365D">
      <w:pPr>
        <w:rPr>
          <w:rFonts w:asciiTheme="minorHAnsi" w:hAnsiTheme="minorHAnsi" w:cstheme="minorHAnsi"/>
        </w:rPr>
      </w:pPr>
    </w:p>
    <w:p w:rsidR="00D434A8" w:rsidRDefault="00D434A8">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1134"/>
        <w:gridCol w:w="2693"/>
      </w:tblGrid>
      <w:tr w:rsidR="00D434A8">
        <w:trPr>
          <w:trHeight w:hRule="exact" w:val="567"/>
        </w:trPr>
        <w:tc>
          <w:tcPr>
            <w:tcW w:w="1951" w:type="dxa"/>
            <w:tcBorders>
              <w:top w:val="nil"/>
              <w:left w:val="nil"/>
              <w:bottom w:val="nil"/>
            </w:tcBorders>
            <w:vAlign w:val="center"/>
          </w:tcPr>
          <w:p w:rsidR="00D434A8" w:rsidRDefault="005B0FBA">
            <w:pPr>
              <w:pStyle w:val="NoSpacing"/>
              <w:jc w:val="center"/>
              <w:rPr>
                <w:b/>
                <w:color w:val="C00000"/>
                <w:sz w:val="22"/>
                <w:szCs w:val="22"/>
              </w:rPr>
            </w:pPr>
            <w:r>
              <w:rPr>
                <w:b/>
                <w:color w:val="C00000"/>
                <w:sz w:val="22"/>
                <w:szCs w:val="22"/>
              </w:rPr>
              <w:t>Chair of ALP:</w:t>
            </w:r>
          </w:p>
        </w:tc>
        <w:tc>
          <w:tcPr>
            <w:tcW w:w="3402" w:type="dxa"/>
            <w:vAlign w:val="center"/>
          </w:tcPr>
          <w:p w:rsidR="00D434A8" w:rsidRDefault="00D434A8">
            <w:pPr>
              <w:pStyle w:val="NoSpacing"/>
              <w:jc w:val="center"/>
              <w:rPr>
                <w:color w:val="C00000"/>
                <w:sz w:val="22"/>
                <w:szCs w:val="22"/>
              </w:rPr>
            </w:pPr>
          </w:p>
        </w:tc>
        <w:tc>
          <w:tcPr>
            <w:tcW w:w="1134" w:type="dxa"/>
            <w:tcBorders>
              <w:top w:val="nil"/>
              <w:bottom w:val="nil"/>
            </w:tcBorders>
            <w:vAlign w:val="center"/>
          </w:tcPr>
          <w:p w:rsidR="00D434A8" w:rsidRDefault="005B0FBA">
            <w:pPr>
              <w:pStyle w:val="NoSpacing"/>
              <w:jc w:val="center"/>
              <w:rPr>
                <w:b/>
                <w:color w:val="C00000"/>
                <w:sz w:val="22"/>
                <w:szCs w:val="22"/>
              </w:rPr>
            </w:pPr>
            <w:r>
              <w:rPr>
                <w:b/>
                <w:color w:val="C00000"/>
                <w:sz w:val="22"/>
                <w:szCs w:val="22"/>
              </w:rPr>
              <w:t>Date:</w:t>
            </w:r>
          </w:p>
        </w:tc>
        <w:tc>
          <w:tcPr>
            <w:tcW w:w="2693" w:type="dxa"/>
            <w:vAlign w:val="center"/>
          </w:tcPr>
          <w:p w:rsidR="00D434A8" w:rsidRDefault="00D434A8">
            <w:pPr>
              <w:pStyle w:val="NoSpacing"/>
              <w:jc w:val="center"/>
              <w:rPr>
                <w:sz w:val="22"/>
                <w:szCs w:val="22"/>
              </w:rPr>
            </w:pPr>
          </w:p>
        </w:tc>
      </w:tr>
    </w:tbl>
    <w:p w:rsidR="00D434A8" w:rsidRDefault="00D434A8">
      <w:pPr>
        <w:pStyle w:val="Title"/>
        <w:jc w:val="left"/>
        <w:rPr>
          <w:rFonts w:ascii="Calibri" w:hAnsi="Calibri" w:cs="Arial"/>
          <w:sz w:val="22"/>
          <w:szCs w:val="22"/>
          <w:u w:val="none"/>
        </w:rPr>
      </w:pPr>
    </w:p>
    <w:tbl>
      <w:tblPr>
        <w:tblW w:w="0" w:type="auto"/>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01"/>
        <w:gridCol w:w="236"/>
        <w:gridCol w:w="1828"/>
        <w:gridCol w:w="1828"/>
        <w:gridCol w:w="1828"/>
        <w:gridCol w:w="1828"/>
      </w:tblGrid>
      <w:tr w:rsidR="003223AE" w:rsidTr="00747CB8">
        <w:tc>
          <w:tcPr>
            <w:tcW w:w="1101" w:type="dxa"/>
            <w:shd w:val="clear" w:color="auto" w:fill="auto"/>
            <w:vAlign w:val="center"/>
          </w:tcPr>
          <w:p w:rsidR="003223AE" w:rsidRDefault="003223AE">
            <w:pPr>
              <w:tabs>
                <w:tab w:val="center" w:pos="4513"/>
                <w:tab w:val="right" w:pos="9026"/>
              </w:tabs>
              <w:jc w:val="center"/>
              <w:rPr>
                <w:rFonts w:ascii="Calibri" w:hAnsi="Calibri" w:cs="Calibri"/>
                <w:b/>
                <w:szCs w:val="22"/>
                <w:lang w:eastAsia="en-GB"/>
              </w:rPr>
            </w:pPr>
            <w:r>
              <w:rPr>
                <w:rFonts w:ascii="Calibri" w:hAnsi="Calibri" w:cs="Calibri"/>
                <w:b/>
                <w:szCs w:val="22"/>
                <w:lang w:eastAsia="en-GB"/>
              </w:rPr>
              <w:t>Date:</w:t>
            </w:r>
          </w:p>
        </w:tc>
        <w:tc>
          <w:tcPr>
            <w:tcW w:w="236" w:type="dxa"/>
            <w:tcBorders>
              <w:top w:val="nil"/>
              <w:bottom w:val="nil"/>
            </w:tcBorders>
            <w:vAlign w:val="center"/>
          </w:tcPr>
          <w:p w:rsidR="003223AE" w:rsidRDefault="003223AE">
            <w:pPr>
              <w:tabs>
                <w:tab w:val="center" w:pos="4513"/>
                <w:tab w:val="right" w:pos="9026"/>
              </w:tabs>
              <w:jc w:val="center"/>
              <w:rPr>
                <w:rFonts w:ascii="Calibri" w:hAnsi="Calibri" w:cs="Calibri"/>
                <w:szCs w:val="22"/>
                <w:lang w:eastAsia="en-GB"/>
              </w:rPr>
            </w:pPr>
          </w:p>
        </w:tc>
        <w:tc>
          <w:tcPr>
            <w:tcW w:w="1828" w:type="dxa"/>
            <w:tcBorders>
              <w:right w:val="single" w:sz="4" w:space="0" w:color="808080"/>
            </w:tcBorders>
            <w:shd w:val="clear" w:color="auto" w:fill="auto"/>
            <w:vAlign w:val="center"/>
          </w:tcPr>
          <w:p w:rsidR="003223AE" w:rsidRDefault="003223AE">
            <w:pPr>
              <w:tabs>
                <w:tab w:val="center" w:pos="4513"/>
                <w:tab w:val="right" w:pos="9026"/>
              </w:tabs>
              <w:jc w:val="center"/>
              <w:rPr>
                <w:rFonts w:ascii="Calibri" w:hAnsi="Calibri" w:cs="Calibri"/>
                <w:szCs w:val="22"/>
                <w:lang w:eastAsia="en-GB"/>
              </w:rPr>
            </w:pPr>
            <w:r>
              <w:rPr>
                <w:rFonts w:ascii="Calibri" w:hAnsi="Calibri" w:cs="Calibri"/>
                <w:szCs w:val="22"/>
                <w:lang w:eastAsia="en-GB"/>
              </w:rPr>
              <w:t>9 Nov 2016</w:t>
            </w:r>
          </w:p>
        </w:tc>
        <w:tc>
          <w:tcPr>
            <w:tcW w:w="1828" w:type="dxa"/>
            <w:tcBorders>
              <w:right w:val="single" w:sz="4" w:space="0" w:color="808080"/>
            </w:tcBorders>
          </w:tcPr>
          <w:p w:rsidR="003223AE" w:rsidRDefault="003223AE">
            <w:pPr>
              <w:tabs>
                <w:tab w:val="center" w:pos="4513"/>
                <w:tab w:val="right" w:pos="9026"/>
              </w:tabs>
              <w:jc w:val="center"/>
              <w:rPr>
                <w:rFonts w:ascii="Calibri" w:hAnsi="Calibri" w:cs="Calibri"/>
                <w:szCs w:val="22"/>
                <w:lang w:eastAsia="en-GB"/>
              </w:rPr>
            </w:pPr>
            <w:r>
              <w:rPr>
                <w:rFonts w:ascii="Calibri" w:hAnsi="Calibri" w:cs="Calibri"/>
                <w:szCs w:val="22"/>
                <w:lang w:eastAsia="en-GB"/>
              </w:rPr>
              <w:t>21 Sep 17</w:t>
            </w:r>
          </w:p>
        </w:tc>
        <w:tc>
          <w:tcPr>
            <w:tcW w:w="1828" w:type="dxa"/>
            <w:tcBorders>
              <w:right w:val="single" w:sz="4" w:space="0" w:color="808080"/>
            </w:tcBorders>
          </w:tcPr>
          <w:p w:rsidR="003223AE" w:rsidRDefault="003223AE">
            <w:pPr>
              <w:tabs>
                <w:tab w:val="center" w:pos="4513"/>
                <w:tab w:val="right" w:pos="9026"/>
              </w:tabs>
              <w:jc w:val="center"/>
              <w:rPr>
                <w:rFonts w:ascii="Calibri" w:hAnsi="Calibri" w:cs="Calibri"/>
                <w:szCs w:val="22"/>
                <w:lang w:eastAsia="en-GB"/>
              </w:rPr>
            </w:pPr>
            <w:r>
              <w:rPr>
                <w:rFonts w:ascii="Calibri" w:hAnsi="Calibri" w:cs="Calibri"/>
                <w:szCs w:val="22"/>
                <w:lang w:eastAsia="en-GB"/>
              </w:rPr>
              <w:t>15 Nov 18</w:t>
            </w:r>
          </w:p>
        </w:tc>
        <w:tc>
          <w:tcPr>
            <w:tcW w:w="1828" w:type="dxa"/>
            <w:tcBorders>
              <w:right w:val="single" w:sz="4" w:space="0" w:color="808080"/>
            </w:tcBorders>
          </w:tcPr>
          <w:p w:rsidR="003223AE" w:rsidRDefault="001578C5">
            <w:pPr>
              <w:tabs>
                <w:tab w:val="center" w:pos="4513"/>
                <w:tab w:val="right" w:pos="9026"/>
              </w:tabs>
              <w:jc w:val="center"/>
              <w:rPr>
                <w:rFonts w:ascii="Calibri" w:hAnsi="Calibri" w:cs="Calibri"/>
                <w:szCs w:val="22"/>
                <w:lang w:eastAsia="en-GB"/>
              </w:rPr>
            </w:pPr>
            <w:r>
              <w:rPr>
                <w:rFonts w:ascii="Calibri" w:hAnsi="Calibri" w:cs="Calibri"/>
                <w:szCs w:val="22"/>
                <w:lang w:eastAsia="en-GB"/>
              </w:rPr>
              <w:t>29</w:t>
            </w:r>
            <w:r w:rsidR="00381A74">
              <w:rPr>
                <w:rFonts w:ascii="Calibri" w:hAnsi="Calibri" w:cs="Calibri"/>
                <w:szCs w:val="22"/>
                <w:lang w:eastAsia="en-GB"/>
              </w:rPr>
              <w:t xml:space="preserve"> Mar 19</w:t>
            </w:r>
          </w:p>
        </w:tc>
      </w:tr>
      <w:tr w:rsidR="003223AE" w:rsidTr="00747CB8">
        <w:trPr>
          <w:trHeight w:val="70"/>
        </w:trPr>
        <w:tc>
          <w:tcPr>
            <w:tcW w:w="1101" w:type="dxa"/>
            <w:tcBorders>
              <w:left w:val="nil"/>
              <w:right w:val="nil"/>
            </w:tcBorders>
            <w:shd w:val="clear" w:color="auto" w:fill="auto"/>
            <w:vAlign w:val="center"/>
          </w:tcPr>
          <w:p w:rsidR="003223AE" w:rsidRDefault="003223AE">
            <w:pPr>
              <w:tabs>
                <w:tab w:val="center" w:pos="4513"/>
                <w:tab w:val="right" w:pos="9026"/>
              </w:tabs>
              <w:jc w:val="center"/>
              <w:rPr>
                <w:rFonts w:ascii="Calibri" w:hAnsi="Calibri" w:cs="Calibri"/>
                <w:b/>
                <w:sz w:val="4"/>
                <w:szCs w:val="4"/>
                <w:lang w:eastAsia="en-GB"/>
              </w:rPr>
            </w:pPr>
          </w:p>
        </w:tc>
        <w:tc>
          <w:tcPr>
            <w:tcW w:w="236" w:type="dxa"/>
            <w:tcBorders>
              <w:top w:val="nil"/>
              <w:left w:val="nil"/>
              <w:bottom w:val="nil"/>
              <w:right w:val="nil"/>
            </w:tcBorders>
            <w:vAlign w:val="center"/>
          </w:tcPr>
          <w:p w:rsidR="003223AE" w:rsidRDefault="003223AE">
            <w:pPr>
              <w:tabs>
                <w:tab w:val="center" w:pos="4513"/>
                <w:tab w:val="right" w:pos="9026"/>
              </w:tabs>
              <w:jc w:val="center"/>
              <w:rPr>
                <w:rFonts w:ascii="Calibri" w:hAnsi="Calibri" w:cs="Calibri"/>
                <w:sz w:val="4"/>
                <w:szCs w:val="4"/>
                <w:lang w:eastAsia="en-GB"/>
              </w:rPr>
            </w:pPr>
          </w:p>
        </w:tc>
        <w:tc>
          <w:tcPr>
            <w:tcW w:w="1828" w:type="dxa"/>
            <w:tcBorders>
              <w:left w:val="nil"/>
              <w:right w:val="nil"/>
            </w:tcBorders>
            <w:shd w:val="clear" w:color="auto" w:fill="auto"/>
            <w:vAlign w:val="center"/>
          </w:tcPr>
          <w:p w:rsidR="003223AE" w:rsidRDefault="003223AE">
            <w:pPr>
              <w:tabs>
                <w:tab w:val="center" w:pos="4513"/>
                <w:tab w:val="right" w:pos="9026"/>
              </w:tabs>
              <w:jc w:val="center"/>
              <w:rPr>
                <w:rFonts w:ascii="Calibri" w:hAnsi="Calibri" w:cs="Calibri"/>
                <w:sz w:val="4"/>
                <w:szCs w:val="4"/>
                <w:lang w:eastAsia="en-GB"/>
              </w:rPr>
            </w:pPr>
          </w:p>
        </w:tc>
        <w:tc>
          <w:tcPr>
            <w:tcW w:w="1828" w:type="dxa"/>
            <w:tcBorders>
              <w:left w:val="nil"/>
              <w:right w:val="nil"/>
            </w:tcBorders>
          </w:tcPr>
          <w:p w:rsidR="003223AE" w:rsidRDefault="003223AE">
            <w:pPr>
              <w:tabs>
                <w:tab w:val="center" w:pos="4513"/>
                <w:tab w:val="right" w:pos="9026"/>
              </w:tabs>
              <w:jc w:val="center"/>
              <w:rPr>
                <w:rFonts w:ascii="Calibri" w:hAnsi="Calibri" w:cs="Calibri"/>
                <w:sz w:val="4"/>
                <w:szCs w:val="4"/>
                <w:lang w:eastAsia="en-GB"/>
              </w:rPr>
            </w:pPr>
          </w:p>
        </w:tc>
        <w:tc>
          <w:tcPr>
            <w:tcW w:w="1828" w:type="dxa"/>
            <w:tcBorders>
              <w:left w:val="nil"/>
              <w:right w:val="nil"/>
            </w:tcBorders>
          </w:tcPr>
          <w:p w:rsidR="003223AE" w:rsidRDefault="003223AE">
            <w:pPr>
              <w:tabs>
                <w:tab w:val="center" w:pos="4513"/>
                <w:tab w:val="right" w:pos="9026"/>
              </w:tabs>
              <w:jc w:val="center"/>
              <w:rPr>
                <w:rFonts w:ascii="Calibri" w:hAnsi="Calibri" w:cs="Calibri"/>
                <w:sz w:val="4"/>
                <w:szCs w:val="4"/>
                <w:lang w:eastAsia="en-GB"/>
              </w:rPr>
            </w:pPr>
          </w:p>
        </w:tc>
        <w:tc>
          <w:tcPr>
            <w:tcW w:w="1828" w:type="dxa"/>
            <w:tcBorders>
              <w:left w:val="nil"/>
              <w:right w:val="nil"/>
            </w:tcBorders>
          </w:tcPr>
          <w:p w:rsidR="003223AE" w:rsidRDefault="003223AE">
            <w:pPr>
              <w:tabs>
                <w:tab w:val="center" w:pos="4513"/>
                <w:tab w:val="right" w:pos="9026"/>
              </w:tabs>
              <w:jc w:val="center"/>
              <w:rPr>
                <w:rFonts w:ascii="Calibri" w:hAnsi="Calibri" w:cs="Calibri"/>
                <w:sz w:val="4"/>
                <w:szCs w:val="4"/>
                <w:lang w:eastAsia="en-GB"/>
              </w:rPr>
            </w:pPr>
          </w:p>
        </w:tc>
      </w:tr>
      <w:tr w:rsidR="003223AE" w:rsidTr="00747CB8">
        <w:tc>
          <w:tcPr>
            <w:tcW w:w="1101" w:type="dxa"/>
            <w:shd w:val="clear" w:color="auto" w:fill="auto"/>
            <w:vAlign w:val="center"/>
          </w:tcPr>
          <w:p w:rsidR="003223AE" w:rsidRDefault="003223AE">
            <w:pPr>
              <w:tabs>
                <w:tab w:val="center" w:pos="4513"/>
                <w:tab w:val="right" w:pos="9026"/>
              </w:tabs>
              <w:jc w:val="center"/>
              <w:rPr>
                <w:rFonts w:ascii="Calibri" w:hAnsi="Calibri" w:cs="Calibri"/>
                <w:b/>
                <w:szCs w:val="22"/>
                <w:lang w:eastAsia="en-GB"/>
              </w:rPr>
            </w:pPr>
            <w:r>
              <w:rPr>
                <w:rFonts w:ascii="Calibri" w:hAnsi="Calibri" w:cs="Calibri"/>
                <w:b/>
                <w:szCs w:val="22"/>
                <w:lang w:eastAsia="en-GB"/>
              </w:rPr>
              <w:t>Version</w:t>
            </w:r>
          </w:p>
        </w:tc>
        <w:tc>
          <w:tcPr>
            <w:tcW w:w="236" w:type="dxa"/>
            <w:tcBorders>
              <w:top w:val="nil"/>
              <w:bottom w:val="nil"/>
            </w:tcBorders>
            <w:vAlign w:val="center"/>
          </w:tcPr>
          <w:p w:rsidR="003223AE" w:rsidRDefault="003223AE">
            <w:pPr>
              <w:tabs>
                <w:tab w:val="center" w:pos="4513"/>
                <w:tab w:val="right" w:pos="9026"/>
              </w:tabs>
              <w:jc w:val="center"/>
              <w:rPr>
                <w:rFonts w:ascii="Calibri" w:hAnsi="Calibri" w:cs="Calibri"/>
                <w:szCs w:val="22"/>
                <w:lang w:eastAsia="en-GB"/>
              </w:rPr>
            </w:pPr>
          </w:p>
        </w:tc>
        <w:tc>
          <w:tcPr>
            <w:tcW w:w="1828" w:type="dxa"/>
            <w:tcBorders>
              <w:right w:val="single" w:sz="4" w:space="0" w:color="808080"/>
            </w:tcBorders>
            <w:shd w:val="clear" w:color="auto" w:fill="auto"/>
            <w:vAlign w:val="center"/>
          </w:tcPr>
          <w:p w:rsidR="003223AE" w:rsidRDefault="003223AE">
            <w:pPr>
              <w:tabs>
                <w:tab w:val="center" w:pos="4513"/>
                <w:tab w:val="right" w:pos="9026"/>
              </w:tabs>
              <w:jc w:val="center"/>
              <w:rPr>
                <w:rFonts w:ascii="Calibri" w:hAnsi="Calibri" w:cs="Calibri"/>
                <w:szCs w:val="22"/>
                <w:lang w:eastAsia="en-GB"/>
              </w:rPr>
            </w:pPr>
            <w:r>
              <w:rPr>
                <w:rFonts w:ascii="Calibri" w:hAnsi="Calibri" w:cs="Calibri"/>
                <w:szCs w:val="22"/>
                <w:lang w:eastAsia="en-GB"/>
              </w:rPr>
              <w:t>2</w:t>
            </w:r>
          </w:p>
        </w:tc>
        <w:tc>
          <w:tcPr>
            <w:tcW w:w="1828" w:type="dxa"/>
            <w:tcBorders>
              <w:right w:val="single" w:sz="4" w:space="0" w:color="808080"/>
            </w:tcBorders>
          </w:tcPr>
          <w:p w:rsidR="003223AE" w:rsidRDefault="003223AE">
            <w:pPr>
              <w:tabs>
                <w:tab w:val="center" w:pos="4513"/>
                <w:tab w:val="right" w:pos="9026"/>
              </w:tabs>
              <w:jc w:val="center"/>
              <w:rPr>
                <w:rFonts w:ascii="Calibri" w:hAnsi="Calibri" w:cs="Calibri"/>
                <w:szCs w:val="22"/>
                <w:lang w:eastAsia="en-GB"/>
              </w:rPr>
            </w:pPr>
            <w:r>
              <w:rPr>
                <w:rFonts w:ascii="Calibri" w:hAnsi="Calibri" w:cs="Calibri"/>
                <w:szCs w:val="22"/>
                <w:lang w:eastAsia="en-GB"/>
              </w:rPr>
              <w:t>3</w:t>
            </w:r>
          </w:p>
        </w:tc>
        <w:tc>
          <w:tcPr>
            <w:tcW w:w="1828" w:type="dxa"/>
            <w:tcBorders>
              <w:right w:val="single" w:sz="4" w:space="0" w:color="808080"/>
            </w:tcBorders>
          </w:tcPr>
          <w:p w:rsidR="003223AE" w:rsidRDefault="003223AE">
            <w:pPr>
              <w:tabs>
                <w:tab w:val="center" w:pos="4513"/>
                <w:tab w:val="right" w:pos="9026"/>
              </w:tabs>
              <w:jc w:val="center"/>
              <w:rPr>
                <w:rFonts w:ascii="Calibri" w:hAnsi="Calibri" w:cs="Calibri"/>
                <w:szCs w:val="22"/>
                <w:lang w:eastAsia="en-GB"/>
              </w:rPr>
            </w:pPr>
            <w:r>
              <w:rPr>
                <w:rFonts w:ascii="Calibri" w:hAnsi="Calibri" w:cs="Calibri"/>
                <w:szCs w:val="22"/>
                <w:lang w:eastAsia="en-GB"/>
              </w:rPr>
              <w:t>4</w:t>
            </w:r>
          </w:p>
        </w:tc>
        <w:tc>
          <w:tcPr>
            <w:tcW w:w="1828" w:type="dxa"/>
            <w:tcBorders>
              <w:right w:val="single" w:sz="4" w:space="0" w:color="808080"/>
            </w:tcBorders>
          </w:tcPr>
          <w:p w:rsidR="003223AE" w:rsidRDefault="00381A74">
            <w:pPr>
              <w:tabs>
                <w:tab w:val="center" w:pos="4513"/>
                <w:tab w:val="right" w:pos="9026"/>
              </w:tabs>
              <w:jc w:val="center"/>
              <w:rPr>
                <w:rFonts w:ascii="Calibri" w:hAnsi="Calibri" w:cs="Calibri"/>
                <w:szCs w:val="22"/>
                <w:lang w:eastAsia="en-GB"/>
              </w:rPr>
            </w:pPr>
            <w:r>
              <w:rPr>
                <w:rFonts w:ascii="Calibri" w:hAnsi="Calibri" w:cs="Calibri"/>
                <w:szCs w:val="22"/>
                <w:lang w:eastAsia="en-GB"/>
              </w:rPr>
              <w:t>5</w:t>
            </w:r>
          </w:p>
        </w:tc>
      </w:tr>
      <w:tr w:rsidR="003223AE" w:rsidTr="00747CB8">
        <w:tc>
          <w:tcPr>
            <w:tcW w:w="1101" w:type="dxa"/>
            <w:tcBorders>
              <w:left w:val="nil"/>
              <w:right w:val="nil"/>
            </w:tcBorders>
            <w:shd w:val="clear" w:color="auto" w:fill="auto"/>
            <w:vAlign w:val="center"/>
          </w:tcPr>
          <w:p w:rsidR="003223AE" w:rsidRDefault="003223AE">
            <w:pPr>
              <w:tabs>
                <w:tab w:val="center" w:pos="4513"/>
                <w:tab w:val="right" w:pos="9026"/>
              </w:tabs>
              <w:jc w:val="center"/>
              <w:rPr>
                <w:rFonts w:ascii="Calibri" w:hAnsi="Calibri" w:cs="Calibri"/>
                <w:b/>
                <w:sz w:val="4"/>
                <w:szCs w:val="4"/>
                <w:lang w:eastAsia="en-GB"/>
              </w:rPr>
            </w:pPr>
          </w:p>
        </w:tc>
        <w:tc>
          <w:tcPr>
            <w:tcW w:w="236" w:type="dxa"/>
            <w:tcBorders>
              <w:top w:val="nil"/>
              <w:left w:val="nil"/>
              <w:bottom w:val="nil"/>
              <w:right w:val="nil"/>
            </w:tcBorders>
            <w:vAlign w:val="center"/>
          </w:tcPr>
          <w:p w:rsidR="003223AE" w:rsidRDefault="003223AE">
            <w:pPr>
              <w:tabs>
                <w:tab w:val="center" w:pos="4513"/>
                <w:tab w:val="right" w:pos="9026"/>
              </w:tabs>
              <w:jc w:val="center"/>
              <w:rPr>
                <w:rFonts w:ascii="Calibri" w:hAnsi="Calibri" w:cs="Calibri"/>
                <w:sz w:val="4"/>
                <w:szCs w:val="4"/>
                <w:lang w:eastAsia="en-GB"/>
              </w:rPr>
            </w:pPr>
          </w:p>
        </w:tc>
        <w:tc>
          <w:tcPr>
            <w:tcW w:w="1828" w:type="dxa"/>
            <w:tcBorders>
              <w:left w:val="nil"/>
              <w:right w:val="nil"/>
            </w:tcBorders>
            <w:shd w:val="clear" w:color="auto" w:fill="auto"/>
            <w:vAlign w:val="center"/>
          </w:tcPr>
          <w:p w:rsidR="003223AE" w:rsidRDefault="003223AE">
            <w:pPr>
              <w:tabs>
                <w:tab w:val="center" w:pos="4513"/>
                <w:tab w:val="right" w:pos="9026"/>
              </w:tabs>
              <w:jc w:val="center"/>
              <w:rPr>
                <w:rFonts w:ascii="Calibri" w:hAnsi="Calibri" w:cs="Calibri"/>
                <w:sz w:val="4"/>
                <w:szCs w:val="4"/>
                <w:lang w:eastAsia="en-GB"/>
              </w:rPr>
            </w:pPr>
          </w:p>
        </w:tc>
        <w:tc>
          <w:tcPr>
            <w:tcW w:w="1828" w:type="dxa"/>
            <w:tcBorders>
              <w:left w:val="nil"/>
              <w:right w:val="nil"/>
            </w:tcBorders>
          </w:tcPr>
          <w:p w:rsidR="003223AE" w:rsidRDefault="003223AE">
            <w:pPr>
              <w:tabs>
                <w:tab w:val="center" w:pos="4513"/>
                <w:tab w:val="right" w:pos="9026"/>
              </w:tabs>
              <w:jc w:val="center"/>
              <w:rPr>
                <w:rFonts w:ascii="Calibri" w:hAnsi="Calibri" w:cs="Calibri"/>
                <w:sz w:val="4"/>
                <w:szCs w:val="4"/>
                <w:lang w:eastAsia="en-GB"/>
              </w:rPr>
            </w:pPr>
          </w:p>
        </w:tc>
        <w:tc>
          <w:tcPr>
            <w:tcW w:w="1828" w:type="dxa"/>
            <w:tcBorders>
              <w:left w:val="nil"/>
              <w:right w:val="nil"/>
            </w:tcBorders>
          </w:tcPr>
          <w:p w:rsidR="003223AE" w:rsidRDefault="003223AE">
            <w:pPr>
              <w:tabs>
                <w:tab w:val="center" w:pos="4513"/>
                <w:tab w:val="right" w:pos="9026"/>
              </w:tabs>
              <w:jc w:val="center"/>
              <w:rPr>
                <w:rFonts w:ascii="Calibri" w:hAnsi="Calibri" w:cs="Calibri"/>
                <w:sz w:val="4"/>
                <w:szCs w:val="4"/>
                <w:lang w:eastAsia="en-GB"/>
              </w:rPr>
            </w:pPr>
          </w:p>
        </w:tc>
        <w:tc>
          <w:tcPr>
            <w:tcW w:w="1828" w:type="dxa"/>
            <w:tcBorders>
              <w:left w:val="nil"/>
              <w:right w:val="nil"/>
            </w:tcBorders>
          </w:tcPr>
          <w:p w:rsidR="003223AE" w:rsidRDefault="003223AE">
            <w:pPr>
              <w:tabs>
                <w:tab w:val="center" w:pos="4513"/>
                <w:tab w:val="right" w:pos="9026"/>
              </w:tabs>
              <w:jc w:val="center"/>
              <w:rPr>
                <w:rFonts w:ascii="Calibri" w:hAnsi="Calibri" w:cs="Calibri"/>
                <w:sz w:val="4"/>
                <w:szCs w:val="4"/>
                <w:lang w:eastAsia="en-GB"/>
              </w:rPr>
            </w:pPr>
          </w:p>
        </w:tc>
      </w:tr>
      <w:tr w:rsidR="003223AE" w:rsidTr="00747CB8">
        <w:tc>
          <w:tcPr>
            <w:tcW w:w="1101" w:type="dxa"/>
            <w:shd w:val="clear" w:color="auto" w:fill="auto"/>
            <w:vAlign w:val="center"/>
          </w:tcPr>
          <w:p w:rsidR="003223AE" w:rsidRDefault="003223AE" w:rsidP="00D97DC8">
            <w:pPr>
              <w:tabs>
                <w:tab w:val="center" w:pos="4513"/>
                <w:tab w:val="right" w:pos="9026"/>
              </w:tabs>
              <w:jc w:val="center"/>
              <w:rPr>
                <w:rFonts w:ascii="Calibri" w:hAnsi="Calibri" w:cs="Calibri"/>
                <w:b/>
                <w:szCs w:val="22"/>
                <w:lang w:eastAsia="en-GB"/>
              </w:rPr>
            </w:pPr>
            <w:r>
              <w:rPr>
                <w:rFonts w:ascii="Calibri" w:hAnsi="Calibri" w:cs="Calibri"/>
                <w:b/>
                <w:szCs w:val="22"/>
                <w:lang w:eastAsia="en-GB"/>
              </w:rPr>
              <w:t>Author:</w:t>
            </w:r>
          </w:p>
        </w:tc>
        <w:tc>
          <w:tcPr>
            <w:tcW w:w="236" w:type="dxa"/>
            <w:tcBorders>
              <w:top w:val="nil"/>
              <w:bottom w:val="nil"/>
            </w:tcBorders>
            <w:vAlign w:val="center"/>
          </w:tcPr>
          <w:p w:rsidR="003223AE" w:rsidRDefault="003223AE" w:rsidP="00D97DC8">
            <w:pPr>
              <w:tabs>
                <w:tab w:val="center" w:pos="4513"/>
                <w:tab w:val="right" w:pos="9026"/>
              </w:tabs>
              <w:jc w:val="center"/>
              <w:rPr>
                <w:rFonts w:ascii="Calibri" w:hAnsi="Calibri" w:cs="Calibri"/>
                <w:szCs w:val="22"/>
                <w:lang w:eastAsia="en-GB"/>
              </w:rPr>
            </w:pPr>
          </w:p>
        </w:tc>
        <w:tc>
          <w:tcPr>
            <w:tcW w:w="1828" w:type="dxa"/>
            <w:tcBorders>
              <w:right w:val="single" w:sz="4" w:space="0" w:color="808080"/>
            </w:tcBorders>
            <w:shd w:val="clear" w:color="auto" w:fill="auto"/>
            <w:vAlign w:val="center"/>
          </w:tcPr>
          <w:p w:rsidR="003223AE" w:rsidRDefault="003223AE" w:rsidP="00D97DC8">
            <w:pPr>
              <w:tabs>
                <w:tab w:val="center" w:pos="4513"/>
                <w:tab w:val="right" w:pos="9026"/>
              </w:tabs>
              <w:jc w:val="center"/>
              <w:rPr>
                <w:rFonts w:ascii="Calibri" w:hAnsi="Calibri" w:cs="Calibri"/>
                <w:szCs w:val="22"/>
                <w:lang w:eastAsia="en-GB"/>
              </w:rPr>
            </w:pPr>
            <w:r>
              <w:rPr>
                <w:rFonts w:ascii="Calibri" w:hAnsi="Calibri" w:cs="Calibri"/>
                <w:szCs w:val="22"/>
                <w:lang w:eastAsia="en-GB"/>
              </w:rPr>
              <w:t>Nikki Lumley</w:t>
            </w:r>
          </w:p>
        </w:tc>
        <w:tc>
          <w:tcPr>
            <w:tcW w:w="1828" w:type="dxa"/>
            <w:tcBorders>
              <w:right w:val="single" w:sz="4" w:space="0" w:color="808080"/>
            </w:tcBorders>
          </w:tcPr>
          <w:p w:rsidR="003223AE" w:rsidRDefault="003223AE" w:rsidP="00D97DC8">
            <w:pPr>
              <w:tabs>
                <w:tab w:val="center" w:pos="4513"/>
                <w:tab w:val="right" w:pos="9026"/>
              </w:tabs>
              <w:jc w:val="center"/>
              <w:rPr>
                <w:rFonts w:ascii="Calibri" w:hAnsi="Calibri" w:cs="Calibri"/>
                <w:szCs w:val="22"/>
                <w:lang w:eastAsia="en-GB"/>
              </w:rPr>
            </w:pPr>
            <w:r>
              <w:rPr>
                <w:rFonts w:ascii="Calibri" w:hAnsi="Calibri" w:cs="Calibri"/>
                <w:szCs w:val="22"/>
                <w:lang w:eastAsia="en-GB"/>
              </w:rPr>
              <w:t>Nikki Lumley</w:t>
            </w:r>
          </w:p>
        </w:tc>
        <w:tc>
          <w:tcPr>
            <w:tcW w:w="1828" w:type="dxa"/>
            <w:tcBorders>
              <w:right w:val="single" w:sz="4" w:space="0" w:color="808080"/>
            </w:tcBorders>
          </w:tcPr>
          <w:p w:rsidR="003223AE" w:rsidRDefault="003223AE" w:rsidP="00D97DC8">
            <w:pPr>
              <w:tabs>
                <w:tab w:val="center" w:pos="4513"/>
                <w:tab w:val="right" w:pos="9026"/>
              </w:tabs>
              <w:jc w:val="center"/>
              <w:rPr>
                <w:rFonts w:ascii="Calibri" w:hAnsi="Calibri" w:cs="Calibri"/>
                <w:szCs w:val="22"/>
                <w:lang w:eastAsia="en-GB"/>
              </w:rPr>
            </w:pPr>
            <w:r>
              <w:rPr>
                <w:rFonts w:ascii="Calibri" w:hAnsi="Calibri" w:cs="Calibri"/>
                <w:szCs w:val="22"/>
                <w:lang w:eastAsia="en-GB"/>
              </w:rPr>
              <w:t>Nikki Lumley</w:t>
            </w:r>
          </w:p>
        </w:tc>
        <w:tc>
          <w:tcPr>
            <w:tcW w:w="1828" w:type="dxa"/>
            <w:tcBorders>
              <w:right w:val="single" w:sz="4" w:space="0" w:color="808080"/>
            </w:tcBorders>
          </w:tcPr>
          <w:p w:rsidR="003223AE" w:rsidRDefault="00381A74" w:rsidP="00D97DC8">
            <w:pPr>
              <w:tabs>
                <w:tab w:val="center" w:pos="4513"/>
                <w:tab w:val="right" w:pos="9026"/>
              </w:tabs>
              <w:jc w:val="center"/>
              <w:rPr>
                <w:rFonts w:ascii="Calibri" w:hAnsi="Calibri" w:cs="Calibri"/>
                <w:szCs w:val="22"/>
                <w:lang w:eastAsia="en-GB"/>
              </w:rPr>
            </w:pPr>
            <w:r>
              <w:rPr>
                <w:rFonts w:ascii="Calibri" w:hAnsi="Calibri" w:cs="Calibri"/>
                <w:szCs w:val="22"/>
                <w:lang w:eastAsia="en-GB"/>
              </w:rPr>
              <w:t>H Robertson</w:t>
            </w:r>
          </w:p>
        </w:tc>
      </w:tr>
      <w:tr w:rsidR="003223AE" w:rsidTr="00747CB8">
        <w:tc>
          <w:tcPr>
            <w:tcW w:w="1101" w:type="dxa"/>
            <w:tcBorders>
              <w:left w:val="nil"/>
              <w:bottom w:val="single" w:sz="4" w:space="0" w:color="808080"/>
              <w:right w:val="nil"/>
            </w:tcBorders>
            <w:shd w:val="clear" w:color="auto" w:fill="auto"/>
            <w:vAlign w:val="center"/>
          </w:tcPr>
          <w:p w:rsidR="003223AE" w:rsidRDefault="003223AE" w:rsidP="00D97DC8">
            <w:pPr>
              <w:tabs>
                <w:tab w:val="center" w:pos="4513"/>
                <w:tab w:val="right" w:pos="9026"/>
              </w:tabs>
              <w:jc w:val="center"/>
              <w:rPr>
                <w:rFonts w:ascii="Calibri" w:hAnsi="Calibri" w:cs="Calibri"/>
                <w:sz w:val="4"/>
                <w:szCs w:val="4"/>
                <w:lang w:eastAsia="en-GB"/>
              </w:rPr>
            </w:pPr>
          </w:p>
        </w:tc>
        <w:tc>
          <w:tcPr>
            <w:tcW w:w="236" w:type="dxa"/>
            <w:tcBorders>
              <w:top w:val="nil"/>
              <w:left w:val="nil"/>
              <w:bottom w:val="nil"/>
              <w:right w:val="nil"/>
            </w:tcBorders>
            <w:vAlign w:val="center"/>
          </w:tcPr>
          <w:p w:rsidR="003223AE" w:rsidRDefault="003223AE" w:rsidP="00D97DC8">
            <w:pPr>
              <w:tabs>
                <w:tab w:val="center" w:pos="4513"/>
                <w:tab w:val="right" w:pos="9026"/>
              </w:tabs>
              <w:jc w:val="center"/>
              <w:rPr>
                <w:rFonts w:ascii="Calibri" w:hAnsi="Calibri" w:cs="Calibri"/>
                <w:sz w:val="4"/>
                <w:szCs w:val="4"/>
                <w:lang w:eastAsia="en-GB"/>
              </w:rPr>
            </w:pPr>
          </w:p>
        </w:tc>
        <w:tc>
          <w:tcPr>
            <w:tcW w:w="1828" w:type="dxa"/>
            <w:tcBorders>
              <w:left w:val="nil"/>
              <w:bottom w:val="single" w:sz="4" w:space="0" w:color="808080"/>
              <w:right w:val="nil"/>
            </w:tcBorders>
            <w:shd w:val="clear" w:color="auto" w:fill="auto"/>
            <w:vAlign w:val="center"/>
          </w:tcPr>
          <w:p w:rsidR="003223AE" w:rsidRDefault="003223AE" w:rsidP="00D97DC8">
            <w:pPr>
              <w:tabs>
                <w:tab w:val="center" w:pos="4513"/>
                <w:tab w:val="right" w:pos="9026"/>
              </w:tabs>
              <w:jc w:val="center"/>
              <w:rPr>
                <w:rFonts w:ascii="Calibri" w:hAnsi="Calibri" w:cs="Calibri"/>
                <w:sz w:val="4"/>
                <w:szCs w:val="4"/>
                <w:lang w:eastAsia="en-GB"/>
              </w:rPr>
            </w:pPr>
          </w:p>
        </w:tc>
        <w:tc>
          <w:tcPr>
            <w:tcW w:w="1828" w:type="dxa"/>
            <w:tcBorders>
              <w:left w:val="nil"/>
              <w:bottom w:val="single" w:sz="4" w:space="0" w:color="808080"/>
              <w:right w:val="nil"/>
            </w:tcBorders>
          </w:tcPr>
          <w:p w:rsidR="003223AE" w:rsidRDefault="003223AE" w:rsidP="00D97DC8">
            <w:pPr>
              <w:tabs>
                <w:tab w:val="center" w:pos="4513"/>
                <w:tab w:val="right" w:pos="9026"/>
              </w:tabs>
              <w:jc w:val="center"/>
              <w:rPr>
                <w:rFonts w:ascii="Calibri" w:hAnsi="Calibri" w:cs="Calibri"/>
                <w:sz w:val="4"/>
                <w:szCs w:val="4"/>
                <w:lang w:eastAsia="en-GB"/>
              </w:rPr>
            </w:pPr>
            <w:r>
              <w:rPr>
                <w:rFonts w:ascii="Calibri" w:hAnsi="Calibri" w:cs="Calibri"/>
                <w:sz w:val="4"/>
                <w:szCs w:val="4"/>
                <w:lang w:eastAsia="en-GB"/>
              </w:rPr>
              <w:t>DRAFT</w:t>
            </w:r>
          </w:p>
        </w:tc>
        <w:tc>
          <w:tcPr>
            <w:tcW w:w="1828" w:type="dxa"/>
            <w:tcBorders>
              <w:left w:val="nil"/>
              <w:bottom w:val="single" w:sz="4" w:space="0" w:color="808080"/>
              <w:right w:val="nil"/>
            </w:tcBorders>
          </w:tcPr>
          <w:p w:rsidR="003223AE" w:rsidRDefault="003223AE" w:rsidP="00D97DC8">
            <w:pPr>
              <w:tabs>
                <w:tab w:val="center" w:pos="4513"/>
                <w:tab w:val="right" w:pos="9026"/>
              </w:tabs>
              <w:jc w:val="center"/>
              <w:rPr>
                <w:rFonts w:ascii="Calibri" w:hAnsi="Calibri" w:cs="Calibri"/>
                <w:sz w:val="4"/>
                <w:szCs w:val="4"/>
                <w:lang w:eastAsia="en-GB"/>
              </w:rPr>
            </w:pPr>
            <w:r>
              <w:rPr>
                <w:rFonts w:ascii="Calibri" w:hAnsi="Calibri" w:cs="Calibri"/>
                <w:sz w:val="4"/>
                <w:szCs w:val="4"/>
                <w:lang w:eastAsia="en-GB"/>
              </w:rPr>
              <w:t>DRAFT</w:t>
            </w:r>
          </w:p>
        </w:tc>
        <w:tc>
          <w:tcPr>
            <w:tcW w:w="1828" w:type="dxa"/>
            <w:tcBorders>
              <w:left w:val="nil"/>
              <w:bottom w:val="single" w:sz="4" w:space="0" w:color="808080"/>
              <w:right w:val="nil"/>
            </w:tcBorders>
          </w:tcPr>
          <w:p w:rsidR="003223AE" w:rsidRDefault="003223AE" w:rsidP="00D97DC8">
            <w:pPr>
              <w:tabs>
                <w:tab w:val="center" w:pos="4513"/>
                <w:tab w:val="right" w:pos="9026"/>
              </w:tabs>
              <w:jc w:val="center"/>
              <w:rPr>
                <w:rFonts w:ascii="Calibri" w:hAnsi="Calibri" w:cs="Calibri"/>
                <w:sz w:val="4"/>
                <w:szCs w:val="4"/>
                <w:lang w:eastAsia="en-GB"/>
              </w:rPr>
            </w:pPr>
          </w:p>
        </w:tc>
      </w:tr>
      <w:tr w:rsidR="003223AE" w:rsidTr="00747CB8">
        <w:tc>
          <w:tcPr>
            <w:tcW w:w="11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3223AE" w:rsidRDefault="003223AE" w:rsidP="00D97DC8">
            <w:pPr>
              <w:tabs>
                <w:tab w:val="center" w:pos="4513"/>
                <w:tab w:val="right" w:pos="9026"/>
              </w:tabs>
              <w:jc w:val="center"/>
              <w:rPr>
                <w:rFonts w:ascii="Calibri" w:hAnsi="Calibri" w:cs="Calibri"/>
                <w:b/>
                <w:szCs w:val="22"/>
                <w:lang w:eastAsia="en-GB"/>
              </w:rPr>
            </w:pPr>
            <w:r>
              <w:rPr>
                <w:rFonts w:ascii="Calibri" w:hAnsi="Calibri" w:cs="Calibri"/>
                <w:b/>
                <w:szCs w:val="22"/>
                <w:lang w:eastAsia="en-GB"/>
              </w:rPr>
              <w:t>Status:</w:t>
            </w:r>
          </w:p>
        </w:tc>
        <w:tc>
          <w:tcPr>
            <w:tcW w:w="236" w:type="dxa"/>
            <w:tcBorders>
              <w:top w:val="nil"/>
              <w:left w:val="single" w:sz="4" w:space="0" w:color="808080"/>
              <w:bottom w:val="nil"/>
              <w:right w:val="single" w:sz="4" w:space="0" w:color="808080"/>
            </w:tcBorders>
            <w:vAlign w:val="center"/>
          </w:tcPr>
          <w:p w:rsidR="003223AE" w:rsidRDefault="003223AE" w:rsidP="00D97DC8">
            <w:pPr>
              <w:tabs>
                <w:tab w:val="center" w:pos="4513"/>
                <w:tab w:val="right" w:pos="9026"/>
              </w:tabs>
              <w:jc w:val="center"/>
              <w:rPr>
                <w:rFonts w:ascii="Calibri" w:hAnsi="Calibri" w:cs="Calibri"/>
                <w:szCs w:val="22"/>
                <w:lang w:eastAsia="en-GB"/>
              </w:rPr>
            </w:pPr>
          </w:p>
        </w:tc>
        <w:tc>
          <w:tcPr>
            <w:tcW w:w="18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3223AE" w:rsidRDefault="003223AE" w:rsidP="00D97DC8">
            <w:pPr>
              <w:tabs>
                <w:tab w:val="center" w:pos="4513"/>
                <w:tab w:val="right" w:pos="9026"/>
              </w:tabs>
              <w:jc w:val="center"/>
              <w:rPr>
                <w:rFonts w:ascii="Calibri" w:hAnsi="Calibri" w:cs="Calibri"/>
                <w:szCs w:val="22"/>
                <w:lang w:eastAsia="en-GB"/>
              </w:rPr>
            </w:pPr>
            <w:r>
              <w:rPr>
                <w:rFonts w:ascii="Calibri" w:hAnsi="Calibri" w:cs="Calibri"/>
                <w:szCs w:val="22"/>
                <w:lang w:eastAsia="en-GB"/>
              </w:rPr>
              <w:t>Final</w:t>
            </w:r>
          </w:p>
        </w:tc>
        <w:tc>
          <w:tcPr>
            <w:tcW w:w="1828" w:type="dxa"/>
            <w:tcBorders>
              <w:top w:val="single" w:sz="4" w:space="0" w:color="808080"/>
              <w:left w:val="single" w:sz="4" w:space="0" w:color="808080"/>
              <w:bottom w:val="single" w:sz="4" w:space="0" w:color="808080"/>
              <w:right w:val="single" w:sz="4" w:space="0" w:color="808080"/>
            </w:tcBorders>
          </w:tcPr>
          <w:p w:rsidR="003223AE" w:rsidRDefault="003223AE" w:rsidP="00D97DC8">
            <w:pPr>
              <w:tabs>
                <w:tab w:val="center" w:pos="4513"/>
                <w:tab w:val="right" w:pos="9026"/>
              </w:tabs>
              <w:jc w:val="center"/>
              <w:rPr>
                <w:rFonts w:ascii="Calibri" w:hAnsi="Calibri" w:cs="Calibri"/>
                <w:szCs w:val="22"/>
                <w:lang w:eastAsia="en-GB"/>
              </w:rPr>
            </w:pPr>
            <w:r>
              <w:rPr>
                <w:rFonts w:ascii="Calibri" w:hAnsi="Calibri" w:cs="Calibri"/>
                <w:szCs w:val="22"/>
                <w:lang w:eastAsia="en-GB"/>
              </w:rPr>
              <w:t>DRAFT</w:t>
            </w:r>
          </w:p>
        </w:tc>
        <w:tc>
          <w:tcPr>
            <w:tcW w:w="1828" w:type="dxa"/>
            <w:tcBorders>
              <w:top w:val="single" w:sz="4" w:space="0" w:color="808080"/>
              <w:left w:val="single" w:sz="4" w:space="0" w:color="808080"/>
              <w:bottom w:val="single" w:sz="4" w:space="0" w:color="808080"/>
              <w:right w:val="single" w:sz="4" w:space="0" w:color="808080"/>
            </w:tcBorders>
          </w:tcPr>
          <w:p w:rsidR="003223AE" w:rsidRDefault="003223AE" w:rsidP="00D97DC8">
            <w:pPr>
              <w:tabs>
                <w:tab w:val="center" w:pos="4513"/>
                <w:tab w:val="right" w:pos="9026"/>
              </w:tabs>
              <w:jc w:val="center"/>
              <w:rPr>
                <w:rFonts w:ascii="Calibri" w:hAnsi="Calibri" w:cs="Calibri"/>
                <w:szCs w:val="22"/>
                <w:lang w:eastAsia="en-GB"/>
              </w:rPr>
            </w:pPr>
            <w:r>
              <w:rPr>
                <w:rFonts w:ascii="Calibri" w:hAnsi="Calibri" w:cs="Calibri"/>
                <w:szCs w:val="22"/>
                <w:lang w:eastAsia="en-GB"/>
              </w:rPr>
              <w:t>DRAFT</w:t>
            </w:r>
          </w:p>
        </w:tc>
        <w:tc>
          <w:tcPr>
            <w:tcW w:w="1828" w:type="dxa"/>
            <w:tcBorders>
              <w:top w:val="single" w:sz="4" w:space="0" w:color="808080"/>
              <w:left w:val="single" w:sz="4" w:space="0" w:color="808080"/>
              <w:bottom w:val="single" w:sz="4" w:space="0" w:color="808080"/>
              <w:right w:val="single" w:sz="4" w:space="0" w:color="808080"/>
            </w:tcBorders>
          </w:tcPr>
          <w:p w:rsidR="003223AE" w:rsidRDefault="003223AE" w:rsidP="00D97DC8">
            <w:pPr>
              <w:tabs>
                <w:tab w:val="center" w:pos="4513"/>
                <w:tab w:val="right" w:pos="9026"/>
              </w:tabs>
              <w:jc w:val="center"/>
              <w:rPr>
                <w:rFonts w:ascii="Calibri" w:hAnsi="Calibri" w:cs="Calibri"/>
                <w:szCs w:val="22"/>
                <w:lang w:eastAsia="en-GB"/>
              </w:rPr>
            </w:pPr>
            <w:bookmarkStart w:id="0" w:name="_GoBack"/>
            <w:bookmarkEnd w:id="0"/>
          </w:p>
        </w:tc>
      </w:tr>
    </w:tbl>
    <w:p w:rsidR="00D434A8" w:rsidRDefault="00D434A8">
      <w:pPr>
        <w:rPr>
          <w:rFonts w:asciiTheme="minorHAnsi" w:hAnsiTheme="minorHAnsi" w:cstheme="minorHAnsi"/>
        </w:rPr>
      </w:pPr>
    </w:p>
    <w:p w:rsidR="00D434A8" w:rsidRDefault="00D434A8">
      <w:pPr>
        <w:overflowPunct/>
        <w:autoSpaceDE/>
        <w:autoSpaceDN/>
        <w:adjustRightInd/>
        <w:textAlignment w:val="auto"/>
        <w:rPr>
          <w:rFonts w:asciiTheme="minorHAnsi" w:hAnsiTheme="minorHAnsi" w:cstheme="minorHAnsi"/>
          <w:b/>
        </w:rPr>
      </w:pPr>
    </w:p>
    <w:p w:rsidR="00D434A8" w:rsidRDefault="00D434A8">
      <w:pPr>
        <w:pStyle w:val="Title"/>
        <w:rPr>
          <w:rFonts w:ascii="Calibri" w:hAnsi="Calibri" w:cs="Arial"/>
          <w:sz w:val="22"/>
          <w:szCs w:val="22"/>
          <w:u w:val="none"/>
        </w:rPr>
      </w:pPr>
    </w:p>
    <w:p w:rsidR="00D434A8" w:rsidRDefault="00D434A8">
      <w:pPr>
        <w:rPr>
          <w:rFonts w:cstheme="minorHAnsi"/>
          <w:b/>
        </w:rPr>
      </w:pPr>
    </w:p>
    <w:sectPr w:rsidR="00D434A8">
      <w:headerReference w:type="first" r:id="rId9"/>
      <w:pgSz w:w="11906" w:h="16838"/>
      <w:pgMar w:top="851" w:right="1077"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9C8" w:rsidRDefault="00E869C8">
      <w:r>
        <w:separator/>
      </w:r>
    </w:p>
  </w:endnote>
  <w:endnote w:type="continuationSeparator" w:id="0">
    <w:p w:rsidR="00E869C8" w:rsidRDefault="00E8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9C8" w:rsidRDefault="00E869C8">
      <w:r>
        <w:separator/>
      </w:r>
    </w:p>
  </w:footnote>
  <w:footnote w:type="continuationSeparator" w:id="0">
    <w:p w:rsidR="00E869C8" w:rsidRDefault="00E869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060" w:rsidRDefault="00885060">
    <w:pPr>
      <w:rPr>
        <w:rFonts w:ascii="Bradley Hand ITC" w:hAnsi="Bradley Hand ITC"/>
        <w:b/>
        <w:color w:val="15355C"/>
        <w:sz w:val="32"/>
        <w:szCs w:val="32"/>
      </w:rPr>
    </w:pPr>
  </w:p>
  <w:p w:rsidR="00D434A8" w:rsidRDefault="005B0FBA">
    <w:pPr>
      <w:rPr>
        <w:rFonts w:ascii="Bradley Hand ITC" w:hAnsi="Bradley Hand ITC"/>
        <w:b/>
        <w:color w:val="15355C"/>
        <w:sz w:val="32"/>
        <w:szCs w:val="32"/>
      </w:rPr>
    </w:pPr>
    <w:r>
      <w:rPr>
        <w:rFonts w:ascii="Bradley Hand ITC" w:hAnsi="Bradley Hand ITC"/>
        <w:b/>
        <w:color w:val="15355C"/>
        <w:sz w:val="32"/>
        <w:szCs w:val="32"/>
      </w:rPr>
      <w:t xml:space="preserve">Partnership </w:t>
    </w:r>
    <w:r>
      <w:rPr>
        <w:rFonts w:ascii="Bradley Hand ITC" w:hAnsi="Bradley Hand ITC"/>
        <w:b/>
        <w:color w:val="FFC000"/>
        <w:sz w:val="32"/>
        <w:szCs w:val="32"/>
      </w:rPr>
      <w:t xml:space="preserve">• </w:t>
    </w:r>
    <w:r>
      <w:rPr>
        <w:rFonts w:ascii="Bradley Hand ITC" w:hAnsi="Bradley Hand ITC"/>
        <w:b/>
        <w:color w:val="15355C"/>
        <w:sz w:val="32"/>
        <w:szCs w:val="32"/>
      </w:rPr>
      <w:t xml:space="preserve">Responsibility </w:t>
    </w:r>
    <w:r>
      <w:rPr>
        <w:rFonts w:ascii="Bradley Hand ITC" w:hAnsi="Bradley Hand ITC"/>
        <w:b/>
        <w:color w:val="FFC000"/>
        <w:sz w:val="32"/>
        <w:szCs w:val="32"/>
      </w:rPr>
      <w:t xml:space="preserve">• </w:t>
    </w:r>
    <w:r>
      <w:rPr>
        <w:rFonts w:ascii="Bradley Hand ITC" w:hAnsi="Bradley Hand ITC"/>
        <w:b/>
        <w:color w:val="15355C"/>
        <w:sz w:val="32"/>
        <w:szCs w:val="32"/>
      </w:rPr>
      <w:t xml:space="preserve">Excellence </w:t>
    </w:r>
    <w:r>
      <w:rPr>
        <w:rFonts w:ascii="Bradley Hand ITC" w:hAnsi="Bradley Hand ITC"/>
        <w:b/>
        <w:color w:val="FFC000"/>
        <w:sz w:val="32"/>
        <w:szCs w:val="32"/>
      </w:rPr>
      <w:t xml:space="preserve">• </w:t>
    </w:r>
    <w:r>
      <w:rPr>
        <w:rFonts w:ascii="Bradley Hand ITC" w:hAnsi="Bradley Hand ITC"/>
        <w:b/>
        <w:color w:val="15355C"/>
        <w:sz w:val="32"/>
        <w:szCs w:val="32"/>
      </w:rPr>
      <w:t>Opportunity</w:t>
    </w:r>
  </w:p>
  <w:p w:rsidR="00D434A8" w:rsidRDefault="00D434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C4645"/>
    <w:multiLevelType w:val="hybridMultilevel"/>
    <w:tmpl w:val="F426D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F3177"/>
    <w:multiLevelType w:val="hybridMultilevel"/>
    <w:tmpl w:val="CC1C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E0E79"/>
    <w:multiLevelType w:val="hybridMultilevel"/>
    <w:tmpl w:val="54C4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022B9"/>
    <w:multiLevelType w:val="hybridMultilevel"/>
    <w:tmpl w:val="AAD6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A8"/>
    <w:rsid w:val="000334F5"/>
    <w:rsid w:val="00155E85"/>
    <w:rsid w:val="001578C5"/>
    <w:rsid w:val="0020365D"/>
    <w:rsid w:val="00281B36"/>
    <w:rsid w:val="003223AE"/>
    <w:rsid w:val="00381A74"/>
    <w:rsid w:val="00442C6B"/>
    <w:rsid w:val="004445C1"/>
    <w:rsid w:val="004B2AF8"/>
    <w:rsid w:val="004D5496"/>
    <w:rsid w:val="0052245F"/>
    <w:rsid w:val="0055185C"/>
    <w:rsid w:val="005B0FBA"/>
    <w:rsid w:val="005D16F3"/>
    <w:rsid w:val="00727F35"/>
    <w:rsid w:val="00761884"/>
    <w:rsid w:val="00885060"/>
    <w:rsid w:val="009112BB"/>
    <w:rsid w:val="00B858C2"/>
    <w:rsid w:val="00C8313B"/>
    <w:rsid w:val="00D434A8"/>
    <w:rsid w:val="00D565B6"/>
    <w:rsid w:val="00D97DC8"/>
    <w:rsid w:val="00DA54C0"/>
    <w:rsid w:val="00E869C8"/>
    <w:rsid w:val="00E96765"/>
    <w:rsid w:val="00F43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DBCFF"/>
  <w15:docId w15:val="{8CAE094E-E6E9-49D9-BE9A-0E6E1741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eastAsia="Times New Roman" w:hAnsi="Arial" w:cs="Times New Roman"/>
      <w:szCs w:val="20"/>
    </w:rPr>
  </w:style>
  <w:style w:type="paragraph" w:styleId="Heading2">
    <w:name w:val="heading 2"/>
    <w:basedOn w:val="Normal"/>
    <w:next w:val="Normal"/>
    <w:link w:val="Heading2Char"/>
    <w:qFormat/>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Bradley Hand ITC" w:hAnsi="Bradley Hand ITC" w:cs="Bradley Hand ITC"/>
      <w:color w:val="000000"/>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rPr>
      <w:rFonts w:ascii="Arial" w:eastAsia="Times New Roman" w:hAnsi="Arial" w:cs="Times New Roman"/>
      <w:b/>
      <w:bCs/>
      <w:sz w:val="24"/>
      <w:szCs w:val="20"/>
    </w:rPr>
  </w:style>
  <w:style w:type="paragraph" w:styleId="NoSpacing">
    <w:name w:val="No Spacing"/>
    <w:uiPriority w:val="1"/>
    <w:qFormat/>
    <w:rPr>
      <w:rFonts w:ascii="Calibri" w:eastAsia="Times New Roman" w:hAnsi="Calibri" w:cs="Times New Roman"/>
      <w:sz w:val="24"/>
      <w:szCs w:val="24"/>
      <w:lang w:eastAsia="en-GB"/>
    </w:rPr>
  </w:style>
  <w:style w:type="paragraph" w:styleId="Title">
    <w:name w:val="Title"/>
    <w:basedOn w:val="Normal"/>
    <w:link w:val="TitleChar"/>
    <w:qFormat/>
    <w:pPr>
      <w:overflowPunct/>
      <w:autoSpaceDE/>
      <w:autoSpaceDN/>
      <w:adjustRightInd/>
      <w:jc w:val="center"/>
      <w:textAlignment w:val="auto"/>
    </w:pPr>
    <w:rPr>
      <w:b/>
      <w:bCs/>
      <w:sz w:val="24"/>
      <w:szCs w:val="24"/>
      <w:u w:val="single"/>
      <w:lang w:val="en-US"/>
    </w:rPr>
  </w:style>
  <w:style w:type="character" w:customStyle="1" w:styleId="TitleChar">
    <w:name w:val="Title Char"/>
    <w:basedOn w:val="DefaultParagraphFont"/>
    <w:link w:val="Title"/>
    <w:rPr>
      <w:rFonts w:ascii="Arial" w:eastAsia="Times New Roman" w:hAnsi="Arial" w:cs="Times New Roman"/>
      <w:b/>
      <w:bCs/>
      <w:sz w:val="24"/>
      <w:szCs w:val="24"/>
      <w:u w:val="single"/>
      <w:lang w:val="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99807-6CDB-4563-A205-969063CA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Lumley</dc:creator>
  <cp:lastModifiedBy>Helen Robertson</cp:lastModifiedBy>
  <cp:revision>4</cp:revision>
  <dcterms:created xsi:type="dcterms:W3CDTF">2019-05-01T13:42:00Z</dcterms:created>
  <dcterms:modified xsi:type="dcterms:W3CDTF">2019-05-08T12:52:00Z</dcterms:modified>
</cp:coreProperties>
</file>