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smallCaps w:val="0"/>
        </w:rPr>
      </w:pPr>
      <w:r w:rsidDel="00000000" w:rsidR="00000000" w:rsidRPr="00000000">
        <w:rPr>
          <w:smallCaps w:val="0"/>
          <w:rtl w:val="0"/>
        </w:rPr>
        <w:t xml:space="preserve">8</w:t>
      </w:r>
      <w:r w:rsidDel="00000000" w:rsidR="00000000" w:rsidRPr="00000000">
        <w:rPr>
          <w:smallCaps w:val="0"/>
          <w:vertAlign w:val="superscript"/>
          <w:rtl w:val="0"/>
        </w:rPr>
        <w:t xml:space="preserve">th</w:t>
      </w:r>
      <w:r w:rsidDel="00000000" w:rsidR="00000000" w:rsidRPr="00000000">
        <w:rPr>
          <w:smallCaps w:val="0"/>
          <w:rtl w:val="0"/>
        </w:rPr>
        <w:t xml:space="preserve"> Gup (Orange Belt) Study Guide</w:t>
      </w:r>
    </w:p>
    <w:tbl>
      <w:tblPr>
        <w:tblStyle w:val="Table1"/>
        <w:tblW w:w="8700.0" w:type="dxa"/>
        <w:jc w:val="left"/>
        <w:tblInd w:w="3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0"/>
        <w:tblGridChange w:id="0">
          <w:tblGrid>
            <w:gridCol w:w="8700"/>
          </w:tblGrid>
        </w:tblGridChange>
      </w:tblGrid>
      <w:tr>
        <w:tc>
          <w:tcPr>
            <w:shd w:fill="auto" w:val="clear"/>
            <w:tcMar>
              <w:top w:w="30.0" w:type="dxa"/>
              <w:left w:w="30.0" w:type="dxa"/>
              <w:bottom w:w="30.0" w:type="dxa"/>
              <w:right w:w="30.0" w:type="dxa"/>
            </w:tcMar>
            <w:vAlign w:val="top"/>
          </w:tcPr>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study guide is designed to prepare you for your written examination. The answers to the questions below are found in your gup manual. If you have any questions about the material, be sure to ask a class instructor</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You are also responsible for anything on previous study guides.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b w:val="1"/>
          <w:smallCaps w:val="0"/>
          <w:rtl w:val="0"/>
        </w:rPr>
        <w:t xml:space="preserve">General Knowledge- </w:t>
      </w:r>
      <w:r w:rsidDel="00000000" w:rsidR="00000000" w:rsidRPr="00000000">
        <w:rPr>
          <w:smallCaps w:val="0"/>
          <w:rtl w:val="0"/>
        </w:rPr>
        <w:t xml:space="preserve">See 9</w:t>
      </w:r>
      <w:r w:rsidDel="00000000" w:rsidR="00000000" w:rsidRPr="00000000">
        <w:rPr>
          <w:smallCaps w:val="0"/>
          <w:vertAlign w:val="superscript"/>
          <w:rtl w:val="0"/>
        </w:rPr>
        <w:t xml:space="preserve">th</w:t>
      </w:r>
      <w:r w:rsidDel="00000000" w:rsidR="00000000" w:rsidRPr="00000000">
        <w:rPr>
          <w:smallCaps w:val="0"/>
          <w:rtl w:val="0"/>
        </w:rPr>
        <w:t xml:space="preserve"> gup study guide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b w:val="1"/>
          <w:smallCaps w:val="0"/>
          <w:rtl w:val="0"/>
        </w:rPr>
        <w:t xml:space="preserve">Terminology- </w:t>
      </w:r>
      <w:r w:rsidDel="00000000" w:rsidR="00000000" w:rsidRPr="00000000">
        <w:rPr>
          <w:smallCaps w:val="0"/>
          <w:rtl w:val="0"/>
        </w:rPr>
        <w:t xml:space="preserve">You should be able to translate from English to Korean, or the opposite, for the terms below (Note: Do not stress over the spelling of the terms; spelling Korean terms in English can be done many different ways.)</w:t>
      </w:r>
    </w:p>
    <w:tbl>
      <w:tblPr>
        <w:tblStyle w:val="Table2"/>
        <w:tblW w:w="885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8"/>
        <w:gridCol w:w="4428"/>
        <w:tblGridChange w:id="0">
          <w:tblGrid>
            <w:gridCol w:w="4428"/>
            <w:gridCol w:w="4428"/>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contextualSpacing w:val="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1. Low part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2. High part </w:t>
              <w:br w:type="textWrapping"/>
              <w:t xml:space="preserve">3. Attack </w:t>
              <w:br w:type="textWrapping"/>
              <w:t xml:space="preserve">4. Front </w:t>
              <w:br w:type="textWrapping"/>
              <w:t xml:space="preserve">5. Back </w:t>
              <w:br w:type="textWrapping"/>
              <w:t xml:space="preserve">6. High Block </w:t>
              <w:br w:type="textWrapping"/>
              <w:t xml:space="preserve">7. High Punch </w:t>
              <w:br w:type="textWrapping"/>
              <w:t xml:space="preserve">8. Outside/Inside Block </w:t>
              <w:br w:type="textWrapping"/>
              <w:t xml:space="preserve">9. Side Block </w:t>
              <w:br w:type="textWrapping"/>
              <w:t xml:space="preserve">10. Roundhouse Kick </w:t>
              <w:br w:type="textWrapping"/>
              <w:t xml:space="preserve">11. Spinning Back Kick </w:t>
              <w:br w:type="textWrapping"/>
              <w:t xml:space="preserve">12. Outside/Inside Kick </w:t>
              <w:br w:type="textWrapping"/>
              <w:t xml:space="preserve">13. Jump Roundhouse Kick </w:t>
              <w:br w:type="textWrapping"/>
              <w:t xml:space="preserve">14. Grandmaster </w:t>
              <w:br w:type="textWrapping"/>
              <w:t xml:space="preserve">15. Attention </w:t>
              <w:br w:type="textWrapping"/>
              <w:t xml:space="preserve">16. Gym </w:t>
              <w:br w:type="textWrapping"/>
              <w:t xml:space="preserve">17. Return </w:t>
              <w:br w:type="textWrapping"/>
              <w:t xml:space="preserve">18. Belt </w:t>
              <w:br w:type="textWrapping"/>
              <w:t xml:space="preserve">19. Form </w:t>
              <w:br w:type="textWrapping"/>
              <w:t xml:space="preserve">20. Thank You Very Much</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21. Middle part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contextualSpacing w:val="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22. Block </w:t>
              <w:br w:type="textWrapping"/>
              <w:t xml:space="preserve">23. Kick </w:t>
              <w:br w:type="textWrapping"/>
              <w:t xml:space="preserve">24. Side </w:t>
              <w:br w:type="textWrapping"/>
              <w:t xml:space="preserve">25. Low Block </w:t>
              <w:br w:type="textWrapping"/>
              <w:t xml:space="preserve">26. Middle Punch </w:t>
              <w:br w:type="textWrapping"/>
              <w:t xml:space="preserve">27. Inside/Outside Block </w:t>
              <w:br w:type="textWrapping"/>
              <w:t xml:space="preserve">28. Side Punch </w:t>
              <w:br w:type="textWrapping"/>
              <w:t xml:space="preserve">29. Front Kick </w:t>
              <w:br w:type="textWrapping"/>
              <w:t xml:space="preserve">30. Side Kick </w:t>
              <w:br w:type="textWrapping"/>
              <w:t xml:space="preserve">31. Inside/Outside Kick </w:t>
              <w:br w:type="textWrapping"/>
              <w:t xml:space="preserve">32. Jump Front Kick </w:t>
              <w:br w:type="textWrapping"/>
              <w:t xml:space="preserve">33. Jump Side Kick </w:t>
              <w:br w:type="textWrapping"/>
              <w:t xml:space="preserve">34. Instructor </w:t>
              <w:br w:type="textWrapping"/>
              <w:t xml:space="preserve">35. Ready </w:t>
              <w:br w:type="textWrapping"/>
              <w:t xml:space="preserve">36. Uniform </w:t>
              <w:br w:type="textWrapping"/>
              <w:t xml:space="preserve">37. Rest </w:t>
              <w:br w:type="textWrapping"/>
              <w:t xml:space="preserve">38. Yell </w:t>
              <w:br w:type="textWrapping"/>
              <w:t xml:space="preserve">39. Bow</w:t>
            </w:r>
          </w:p>
        </w:tc>
      </w:tr>
    </w:tbl>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40.  What does the Orange Belt Represent?</w:t>
      </w:r>
    </w:p>
    <w:sectPr>
      <w:pgSz w:h="15840" w:w="12240"/>
      <w:pgMar w:bottom="1440" w:top="108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contextualSpacing w:val="1"/>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