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Semibold" w:cs="Proxima Nova Semibold" w:eastAsia="Proxima Nova Semibold" w:hAnsi="Proxima Nova Semibold"/>
        </w:rPr>
      </w:pPr>
      <w:bookmarkStart w:colFirst="0" w:colLast="0" w:name="_jm1lw83sseyw" w:id="0"/>
      <w:bookmarkEnd w:id="0"/>
      <w:r w:rsidDel="00000000" w:rsidR="00000000" w:rsidRPr="00000000">
        <w:rPr>
          <w:rFonts w:ascii="Proxima Nova Semibold" w:cs="Proxima Nova Semibold" w:eastAsia="Proxima Nova Semibold" w:hAnsi="Proxima Nova Semibold"/>
          <w:rtl w:val="0"/>
        </w:rPr>
        <w:t xml:space="preserve">Texas Secretary of State</w:t>
      </w:r>
    </w:p>
    <w:p w:rsidR="00000000" w:rsidDel="00000000" w:rsidP="00000000" w:rsidRDefault="00000000" w:rsidRPr="00000000" w14:paraId="00000002">
      <w:pPr>
        <w:spacing w:before="0" w:lineRule="auto"/>
        <w:rPr>
          <w:color w:val="000000"/>
          <w:highlight w:val="white"/>
        </w:rPr>
      </w:pPr>
      <w:r w:rsidDel="00000000" w:rsidR="00000000" w:rsidRPr="00000000">
        <w:rPr>
          <w:color w:val="000000"/>
          <w:highlight w:val="white"/>
          <w:rtl w:val="0"/>
        </w:rPr>
        <w:t xml:space="preserve">P.O. Box 12887</w:t>
      </w:r>
    </w:p>
    <w:p w:rsidR="00000000" w:rsidDel="00000000" w:rsidP="00000000" w:rsidRDefault="00000000" w:rsidRPr="00000000" w14:paraId="00000003">
      <w:pPr>
        <w:spacing w:before="0" w:lineRule="auto"/>
        <w:rPr>
          <w:color w:val="000000"/>
        </w:rPr>
      </w:pPr>
      <w:r w:rsidDel="00000000" w:rsidR="00000000" w:rsidRPr="00000000">
        <w:rPr>
          <w:color w:val="000000"/>
          <w:highlight w:val="white"/>
          <w:rtl w:val="0"/>
        </w:rPr>
        <w:t xml:space="preserve">Austin, TX 78711-2887</w:t>
      </w: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color w:val="000000"/>
        </w:rPr>
      </w:pPr>
      <w:bookmarkStart w:colFirst="0" w:colLast="0" w:name="_a21rp0m7g01" w:id="1"/>
      <w:bookmarkEnd w:id="1"/>
      <w:r w:rsidDel="00000000" w:rsidR="00000000" w:rsidRPr="00000000">
        <w:rPr>
          <w:color w:val="000000"/>
          <w:rtl w:val="0"/>
        </w:rPr>
        <w:t xml:space="preserve">Mr. John B. Scott,</w:t>
      </w:r>
    </w:p>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spacing w:before="480" w:lineRule="auto"/>
        <w:ind w:left="0" w:right="0" w:firstLine="0"/>
        <w:rPr>
          <w:color w:val="000000"/>
          <w:sz w:val="24"/>
          <w:szCs w:val="24"/>
        </w:rPr>
      </w:pPr>
      <w:bookmarkStart w:colFirst="0" w:colLast="0" w:name="_cl2b6xwybu8h" w:id="2"/>
      <w:bookmarkEnd w:id="2"/>
      <w:r w:rsidDel="00000000" w:rsidR="00000000" w:rsidRPr="00000000">
        <w:rPr>
          <w:color w:val="000000"/>
          <w:rtl w:val="0"/>
        </w:rPr>
        <w:t xml:space="preserve">Texas Election Code 43.007(j) </w:t>
      </w:r>
      <w:r w:rsidDel="00000000" w:rsidR="00000000" w:rsidRPr="00000000">
        <w:rPr>
          <w:color w:val="000000"/>
          <w:sz w:val="24"/>
          <w:szCs w:val="24"/>
          <w:rtl w:val="0"/>
        </w:rPr>
        <w:t xml:space="preserve">A Complaint regarding the CWPPP</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color w:val="000000"/>
          <w:sz w:val="20"/>
          <w:szCs w:val="20"/>
        </w:rPr>
      </w:pPr>
      <w:r w:rsidDel="00000000" w:rsidR="00000000" w:rsidRPr="00000000">
        <w:rPr>
          <w:color w:val="000000"/>
          <w:sz w:val="20"/>
          <w:szCs w:val="20"/>
          <w:rtl w:val="0"/>
        </w:rPr>
        <w:t xml:space="preserve">Standing on Article 1, Section 4 of the National Constitution and Article 6, Section 2(c) of the Texas Constitution, as well as my first amendment rights to petition my government for a redress of grievances.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color w:val="000000"/>
          <w:sz w:val="20"/>
          <w:szCs w:val="20"/>
        </w:rPr>
      </w:pPr>
      <w:r w:rsidDel="00000000" w:rsidR="00000000" w:rsidRPr="00000000">
        <w:rPr>
          <w:color w:val="000000"/>
          <w:sz w:val="20"/>
          <w:szCs w:val="20"/>
          <w:rtl w:val="0"/>
        </w:rPr>
        <w:t xml:space="preserve">I would like to file a complaint and suggest that in your January 1st, 2023 Report to the State Legislature regarding the use of Countywide Polling Places, you recommend that the Texas Legislature repeal Texas Election Code 43.007 in its entirety. Below are seven issues which have been identified by Tarrant County Election Observers during the March 2022 Tarrant County Primary Election, and I would like a response and a plan for redress from your office for each of the issues identified in this letter.</w:t>
      </w:r>
    </w:p>
    <w:p w:rsidR="00000000" w:rsidDel="00000000" w:rsidP="00000000" w:rsidRDefault="00000000" w:rsidRPr="00000000" w14:paraId="00000008">
      <w:pPr>
        <w:numPr>
          <w:ilvl w:val="0"/>
          <w:numId w:val="1"/>
        </w:numPr>
        <w:spacing w:after="0" w:afterAutospacing="0"/>
        <w:ind w:left="720" w:hanging="360"/>
        <w:rPr>
          <w:color w:val="000000"/>
        </w:rPr>
      </w:pPr>
      <w:r w:rsidDel="00000000" w:rsidR="00000000" w:rsidRPr="00000000">
        <w:rPr>
          <w:color w:val="000000"/>
          <w:rtl w:val="0"/>
        </w:rPr>
        <w:t xml:space="preserve"> Use of the CWPPP in counties with a significant population of registered voters has made complying with state and county level audit measures difficult, if not impossible to perform in a timely fashion. </w:t>
      </w:r>
      <w:hyperlink r:id="rId6">
        <w:r w:rsidDel="00000000" w:rsidR="00000000" w:rsidRPr="00000000">
          <w:rPr>
            <w:i w:val="1"/>
            <w:color w:val="1155cc"/>
            <w:u w:val="single"/>
            <w:rtl w:val="0"/>
          </w:rPr>
          <w:t xml:space="preserve">(See Fig. 1)</w:t>
        </w:r>
      </w:hyperlink>
      <w:r w:rsidDel="00000000" w:rsidR="00000000" w:rsidRPr="00000000">
        <w:rPr>
          <w:i w:val="1"/>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1"/>
        </w:numPr>
        <w:spacing w:after="0" w:afterAutospacing="0" w:before="0" w:beforeAutospacing="0"/>
        <w:ind w:left="720" w:hanging="360"/>
        <w:rPr>
          <w:color w:val="000000"/>
        </w:rPr>
      </w:pPr>
      <w:r w:rsidDel="00000000" w:rsidR="00000000" w:rsidRPr="00000000">
        <w:rPr>
          <w:color w:val="000000"/>
          <w:rtl w:val="0"/>
        </w:rPr>
        <w:t xml:space="preserve">Phase One of the Texas Secretary of State’s Audit Report was unacceptably inaccurate, and highly offensive to the intelligence of the average Texas Voter. </w:t>
      </w:r>
      <w:hyperlink r:id="rId7">
        <w:r w:rsidDel="00000000" w:rsidR="00000000" w:rsidRPr="00000000">
          <w:rPr>
            <w:i w:val="1"/>
            <w:color w:val="1155cc"/>
            <w:u w:val="single"/>
            <w:rtl w:val="0"/>
          </w:rPr>
          <w:t xml:space="preserve">(See Fig. 2)</w:t>
        </w:r>
      </w:hyperlink>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ind w:left="720" w:hanging="360"/>
        <w:rPr>
          <w:color w:val="000000"/>
        </w:rPr>
      </w:pPr>
      <w:r w:rsidDel="00000000" w:rsidR="00000000" w:rsidRPr="00000000">
        <w:rPr>
          <w:color w:val="000000"/>
          <w:rtl w:val="0"/>
        </w:rPr>
        <w:t xml:space="preserve">Use of the CWPPP, which lists a computerized voting system as a prerequisite, has rendered each participating county unable to audit individual precincts without incurring major costs to the County. </w:t>
      </w:r>
      <w:hyperlink r:id="rId8">
        <w:r w:rsidDel="00000000" w:rsidR="00000000" w:rsidRPr="00000000">
          <w:rPr>
            <w:i w:val="1"/>
            <w:color w:val="1155cc"/>
            <w:u w:val="single"/>
            <w:rtl w:val="0"/>
          </w:rPr>
          <w:t xml:space="preserve">(See Fig. 3)</w:t>
        </w:r>
      </w:hyperlink>
      <w:r w:rsidDel="00000000" w:rsidR="00000000" w:rsidRPr="00000000">
        <w:rPr>
          <w:rtl w:val="0"/>
        </w:rPr>
      </w:r>
    </w:p>
    <w:p w:rsidR="00000000" w:rsidDel="00000000" w:rsidP="00000000" w:rsidRDefault="00000000" w:rsidRPr="00000000" w14:paraId="0000000B">
      <w:pPr>
        <w:numPr>
          <w:ilvl w:val="0"/>
          <w:numId w:val="1"/>
        </w:numPr>
        <w:spacing w:after="0" w:afterAutospacing="0" w:before="0" w:beforeAutospacing="0"/>
        <w:ind w:left="720" w:hanging="360"/>
        <w:rPr>
          <w:color w:val="000000"/>
        </w:rPr>
      </w:pPr>
      <w:r w:rsidDel="00000000" w:rsidR="00000000" w:rsidRPr="00000000">
        <w:rPr>
          <w:color w:val="000000"/>
          <w:rtl w:val="0"/>
        </w:rPr>
        <w:t xml:space="preserve">Participation in the CWPPP causes a county to stand in violation of Chapter 66 of the Texas Election Code, which outlines the process of casting, tabulating, reporting and storing county election records by precinct. </w:t>
      </w:r>
      <w:hyperlink r:id="rId9">
        <w:r w:rsidDel="00000000" w:rsidR="00000000" w:rsidRPr="00000000">
          <w:rPr>
            <w:i w:val="1"/>
            <w:color w:val="1155cc"/>
            <w:u w:val="single"/>
            <w:rtl w:val="0"/>
          </w:rPr>
          <w:t xml:space="preserve">(See Fig. 4)</w:t>
        </w:r>
      </w:hyperlink>
      <w:r w:rsidDel="00000000" w:rsidR="00000000" w:rsidRPr="00000000">
        <w:rPr>
          <w:rtl w:val="0"/>
        </w:rPr>
      </w:r>
    </w:p>
    <w:p w:rsidR="00000000" w:rsidDel="00000000" w:rsidP="00000000" w:rsidRDefault="00000000" w:rsidRPr="00000000" w14:paraId="0000000C">
      <w:pPr>
        <w:numPr>
          <w:ilvl w:val="0"/>
          <w:numId w:val="1"/>
        </w:numPr>
        <w:spacing w:after="0" w:afterAutospacing="0" w:before="0" w:beforeAutospacing="0"/>
        <w:ind w:left="720" w:hanging="360"/>
        <w:rPr>
          <w:color w:val="000000"/>
        </w:rPr>
      </w:pPr>
      <w:r w:rsidDel="00000000" w:rsidR="00000000" w:rsidRPr="00000000">
        <w:rPr>
          <w:color w:val="000000"/>
          <w:rtl w:val="0"/>
        </w:rPr>
        <w:t xml:space="preserve">The CWPPP directs counties to abandon traditional reporting processes, resulting in the production of inconsistent and overly complicated county cumulative reports. </w:t>
      </w:r>
      <w:hyperlink r:id="rId10">
        <w:r w:rsidDel="00000000" w:rsidR="00000000" w:rsidRPr="00000000">
          <w:rPr>
            <w:i w:val="1"/>
            <w:color w:val="1155cc"/>
            <w:u w:val="single"/>
            <w:rtl w:val="0"/>
          </w:rPr>
          <w:t xml:space="preserve">(See Fig. 5)</w:t>
        </w:r>
      </w:hyperlink>
      <w:r w:rsidDel="00000000" w:rsidR="00000000" w:rsidRPr="00000000">
        <w:rPr>
          <w:rtl w:val="0"/>
        </w:rPr>
      </w:r>
    </w:p>
    <w:p w:rsidR="00000000" w:rsidDel="00000000" w:rsidP="00000000" w:rsidRDefault="00000000" w:rsidRPr="00000000" w14:paraId="0000000D">
      <w:pPr>
        <w:numPr>
          <w:ilvl w:val="0"/>
          <w:numId w:val="1"/>
        </w:numPr>
        <w:spacing w:after="0" w:afterAutospacing="0" w:before="0" w:beforeAutospacing="0"/>
        <w:ind w:left="720" w:hanging="360"/>
        <w:rPr>
          <w:color w:val="000000"/>
        </w:rPr>
      </w:pPr>
      <w:r w:rsidDel="00000000" w:rsidR="00000000" w:rsidRPr="00000000">
        <w:rPr>
          <w:color w:val="000000"/>
          <w:rtl w:val="0"/>
        </w:rPr>
        <w:t xml:space="preserve">Counties who opt out of compliance with Texas Election Code Chapter 66 find it more difficult to locate consistent polling locations able to handle large volumes of voters. </w:t>
      </w:r>
      <w:hyperlink r:id="rId11">
        <w:r w:rsidDel="00000000" w:rsidR="00000000" w:rsidRPr="00000000">
          <w:rPr>
            <w:i w:val="1"/>
            <w:color w:val="1155cc"/>
            <w:u w:val="single"/>
            <w:rtl w:val="0"/>
          </w:rPr>
          <w:t xml:space="preserve">(See Fig. 6)</w:t>
        </w:r>
      </w:hyperlink>
      <w:r w:rsidDel="00000000" w:rsidR="00000000" w:rsidRPr="00000000">
        <w:rPr>
          <w:rtl w:val="0"/>
        </w:rPr>
      </w:r>
    </w:p>
    <w:p w:rsidR="00000000" w:rsidDel="00000000" w:rsidP="00000000" w:rsidRDefault="00000000" w:rsidRPr="00000000" w14:paraId="0000000E">
      <w:pPr>
        <w:numPr>
          <w:ilvl w:val="0"/>
          <w:numId w:val="1"/>
        </w:numPr>
        <w:spacing w:before="0" w:beforeAutospacing="0"/>
        <w:ind w:left="720" w:hanging="360"/>
        <w:rPr>
          <w:color w:val="000000"/>
        </w:rPr>
      </w:pPr>
      <w:r w:rsidDel="00000000" w:rsidR="00000000" w:rsidRPr="00000000">
        <w:rPr>
          <w:color w:val="000000"/>
          <w:rtl w:val="0"/>
        </w:rPr>
        <w:t xml:space="preserve">The CWPPP has reduced the total number of polling locations because of the issues and delays associated with larger turnouts but fewer polling places due to involvement in the CWPPP.</w:t>
      </w:r>
      <w:r w:rsidDel="00000000" w:rsidR="00000000" w:rsidRPr="00000000">
        <w:rPr>
          <w:i w:val="1"/>
          <w:color w:val="000000"/>
          <w:rtl w:val="0"/>
        </w:rPr>
        <w:t xml:space="preserve"> </w:t>
      </w:r>
      <w:hyperlink r:id="rId12">
        <w:r w:rsidDel="00000000" w:rsidR="00000000" w:rsidRPr="00000000">
          <w:rPr>
            <w:i w:val="1"/>
            <w:color w:val="1155cc"/>
            <w:u w:val="single"/>
            <w:rtl w:val="0"/>
          </w:rPr>
          <w:t xml:space="preserve">(See Fig.7)</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See all attached affidavits related to the issues outlined above, and respond to each numbered item individually. I do expect to see these items addressed in your January 1st 2023 report to the </w:t>
      </w:r>
      <w:r w:rsidDel="00000000" w:rsidR="00000000" w:rsidRPr="00000000">
        <w:rPr>
          <w:color w:val="000000"/>
          <w:sz w:val="20"/>
          <w:szCs w:val="20"/>
          <w:rtl w:val="0"/>
        </w:rPr>
        <w:t xml:space="preserve">State Legislature regarding the use of Countywide Polling Places. </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color w:val="000000"/>
        </w:rPr>
      </w:pPr>
      <w:r w:rsidDel="00000000" w:rsidR="00000000" w:rsidRPr="00000000">
        <w:rPr>
          <w:b w:val="1"/>
          <w:color w:val="ff0000"/>
          <w:rtl w:val="0"/>
        </w:rPr>
        <w:t xml:space="preserve">[Your Name]-</w:t>
      </w:r>
      <w:r w:rsidDel="00000000" w:rsidR="00000000" w:rsidRPr="00000000">
        <w:rPr>
          <w:b w:val="1"/>
          <w:color w:val="000000"/>
          <w:rtl w:val="0"/>
        </w:rPr>
        <w:t xml:space="preserve"> </w:t>
      </w:r>
      <w:r w:rsidDel="00000000" w:rsidR="00000000" w:rsidRPr="00000000">
        <w:rPr>
          <w:b w:val="1"/>
          <w:color w:val="ff0000"/>
          <w:rtl w:val="0"/>
        </w:rPr>
        <w:t xml:space="preserve">[Your County]</w:t>
      </w:r>
      <w:r w:rsidDel="00000000" w:rsidR="00000000" w:rsidRPr="00000000">
        <w:rPr>
          <w:b w:val="1"/>
          <w:color w:val="000000"/>
          <w:rtl w:val="0"/>
        </w:rPr>
        <w:t xml:space="preserve">, TX</w:t>
      </w:r>
    </w:p>
    <w:sectPr>
      <w:footerReference r:id="rId13"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Proxima Nova Semibold">
    <w:embedRegular w:fontKey="{00000000-0000-0000-0000-000000000000}" r:id="rId4" w:subsetted="0"/>
    <w:embedBold w:fontKey="{00000000-0000-0000-0000-000000000000}" r:id="rId5" w:subsetted="0"/>
    <w:embedBoldItalic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xastribune.org/2021/05/23/texas-voting-polling-restrictions/" TargetMode="External"/><Relationship Id="rId10" Type="http://schemas.openxmlformats.org/officeDocument/2006/relationships/hyperlink" Target="https://access.tarrantcounty.com/en/elections/election-archives/2022-archives/Election-Results.html" TargetMode="External"/><Relationship Id="rId13" Type="http://schemas.openxmlformats.org/officeDocument/2006/relationships/footer" Target="footer1.xml"/><Relationship Id="rId12" Type="http://schemas.openxmlformats.org/officeDocument/2006/relationships/hyperlink" Target="https://www.tarrantcounty.com/content/dam/main/elections/CAC/VC_Selection_Methodolog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utes.capitol.texas.gov/Docs/EL/htm/EL.66.htm" TargetMode="External"/><Relationship Id="rId5" Type="http://schemas.openxmlformats.org/officeDocument/2006/relationships/styles" Target="styles.xml"/><Relationship Id="rId6" Type="http://schemas.openxmlformats.org/officeDocument/2006/relationships/hyperlink" Target="https://docs.google.com/document/d/18Rtj4fdHf4KYWJhS4vQ-Am7PnPQeF3M0eGpSX7Rc63U/edit" TargetMode="External"/><Relationship Id="rId7" Type="http://schemas.openxmlformats.org/officeDocument/2006/relationships/hyperlink" Target="https://www.sos.state.tx.us/elections/forms/phase1-progress-report.pdf" TargetMode="External"/><Relationship Id="rId8" Type="http://schemas.openxmlformats.org/officeDocument/2006/relationships/hyperlink" Target="https://codes.findlaw.com/tx/election-code/elec-sect-212-112.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ProximaNovaSemibold-regular.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ProximaNovaSemibold-bold.ttf"/><Relationship Id="rId6" Type="http://schemas.openxmlformats.org/officeDocument/2006/relationships/font" Target="fonts/ProximaNovaSemibold-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