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Document de corrélation avec le curriculum</w:t>
      </w:r>
    </w:p>
    <w:p>
      <w:pPr>
        <w:pStyle w:val="Heading1"/>
      </w:pPr>
      <w:r>
        <w:t>La nétiquette : Guide de communication numérique</w:t>
      </w:r>
    </w:p>
    <w:p>
      <w:r>
        <w:t>Corrélation avec le curriculum de l’Ontario (Français – Québec)</w:t>
      </w:r>
    </w:p>
    <w:p>
      <w:r>
        <w:br w:type="page"/>
      </w:r>
    </w:p>
    <w:p>
      <w:pPr>
        <w:pStyle w:val="Heading1"/>
      </w:pPr>
      <w:r>
        <w:t>Objectif du document</w:t>
      </w:r>
    </w:p>
    <w:p>
      <w:r>
        <w:t>Ce document présente les liens explicites entre la vidéo éducative « La nétiquette : Guide de communication numérique » et le curriculum de l’Ontario. Les liens sont établis avec les programmes d’Éducation physique et santé, de Français et de Sciences et technologie.</w:t>
      </w:r>
    </w:p>
    <w:p>
      <w:r>
        <w:br w:type="page"/>
      </w:r>
    </w:p>
    <w:p>
      <w:pPr>
        <w:pStyle w:val="Heading1"/>
      </w:pPr>
      <w:r>
        <w:t>Corrélations avec le curriculum</w:t>
      </w:r>
    </w:p>
    <w:p>
      <w:pPr>
        <w:pStyle w:val="Heading2"/>
      </w:pPr>
      <w:r>
        <w:t>Éducation physique et santé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Attente du curriculum</w:t>
            </w:r>
          </w:p>
        </w:tc>
        <w:tc>
          <w:tcPr>
            <w:tcW w:type="dxa" w:w="2880"/>
          </w:tcPr>
          <w:p>
            <w:r>
              <w:t>Segment vidéo</w:t>
            </w:r>
          </w:p>
        </w:tc>
        <w:tc>
          <w:tcPr>
            <w:tcW w:type="dxa" w:w="2880"/>
          </w:tcPr>
          <w:p>
            <w:r>
              <w:t>Lien pédagogique</w:t>
            </w:r>
          </w:p>
        </w:tc>
      </w:tr>
      <w:tr>
        <w:tc>
          <w:tcPr>
            <w:tcW w:type="dxa" w:w="2880"/>
          </w:tcPr>
          <w:p>
            <w:r>
              <w:t>Compétences socioémotionnelles – Respect et responsabilité</w:t>
            </w:r>
          </w:p>
        </w:tc>
        <w:tc>
          <w:tcPr>
            <w:tcW w:type="dxa" w:w="2880"/>
          </w:tcPr>
          <w:p>
            <w:r>
              <w:t>Présentation du respect et de la sécurité en ligne</w:t>
            </w:r>
          </w:p>
        </w:tc>
        <w:tc>
          <w:tcPr>
            <w:tcW w:type="dxa" w:w="2880"/>
          </w:tcPr>
          <w:p>
            <w:r>
              <w:t>Les élèves développent des comportements responsables et respectueux.</w:t>
            </w:r>
          </w:p>
        </w:tc>
      </w:tr>
      <w:tr>
        <w:tc>
          <w:tcPr>
            <w:tcW w:type="dxa" w:w="2880"/>
          </w:tcPr>
          <w:p>
            <w:r>
              <w:t>Citoyenneté numérique</w:t>
            </w:r>
          </w:p>
        </w:tc>
        <w:tc>
          <w:tcPr>
            <w:tcW w:type="dxa" w:w="2880"/>
          </w:tcPr>
          <w:p>
            <w:r>
              <w:t>Rappel de penser avant de publier</w:t>
            </w:r>
          </w:p>
        </w:tc>
        <w:tc>
          <w:tcPr>
            <w:tcW w:type="dxa" w:w="2880"/>
          </w:tcPr>
          <w:p>
            <w:r>
              <w:t>Favorise la prise de décisions sécuritaires et réfléchies.</w:t>
            </w:r>
          </w:p>
        </w:tc>
      </w:tr>
    </w:tbl>
    <w:p>
      <w:pPr>
        <w:pStyle w:val="Heading2"/>
      </w:pPr>
      <w:r>
        <w:t>Français – Communication écrite et orale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Attente du curriculum</w:t>
            </w:r>
          </w:p>
        </w:tc>
        <w:tc>
          <w:tcPr>
            <w:tcW w:type="dxa" w:w="2880"/>
          </w:tcPr>
          <w:p>
            <w:r>
              <w:t>Segment vidéo</w:t>
            </w:r>
          </w:p>
        </w:tc>
        <w:tc>
          <w:tcPr>
            <w:tcW w:type="dxa" w:w="2880"/>
          </w:tcPr>
          <w:p>
            <w:r>
              <w:t>Lien pédagogique</w:t>
            </w:r>
          </w:p>
        </w:tc>
      </w:tr>
      <w:tr>
        <w:tc>
          <w:tcPr>
            <w:tcW w:type="dxa" w:w="2880"/>
          </w:tcPr>
          <w:p>
            <w:r>
              <w:t>Adapter le message au destinataire</w:t>
            </w:r>
          </w:p>
        </w:tc>
        <w:tc>
          <w:tcPr>
            <w:tcW w:type="dxa" w:w="2880"/>
          </w:tcPr>
          <w:p>
            <w:r>
              <w:t>Différence entre communication formelle et informelle</w:t>
            </w:r>
          </w:p>
        </w:tc>
        <w:tc>
          <w:tcPr>
            <w:tcW w:type="dxa" w:w="2880"/>
          </w:tcPr>
          <w:p>
            <w:r>
              <w:t>Les élèves apprennent à ajuster le ton selon le contexte.</w:t>
            </w:r>
          </w:p>
        </w:tc>
      </w:tr>
      <w:tr>
        <w:tc>
          <w:tcPr>
            <w:tcW w:type="dxa" w:w="2880"/>
          </w:tcPr>
          <w:p>
            <w:r>
              <w:t>Conventions de l’écrit</w:t>
            </w:r>
          </w:p>
        </w:tc>
        <w:tc>
          <w:tcPr>
            <w:tcW w:type="dxa" w:w="2880"/>
          </w:tcPr>
          <w:p>
            <w:r>
              <w:t>Utilisation de la ponctuation et des salutations</w:t>
            </w:r>
          </w:p>
        </w:tc>
        <w:tc>
          <w:tcPr>
            <w:tcW w:type="dxa" w:w="2880"/>
          </w:tcPr>
          <w:p>
            <w:r>
              <w:t>Renforce la clarté et la structure des messages.</w:t>
            </w:r>
          </w:p>
        </w:tc>
      </w:tr>
      <w:tr>
        <w:tc>
          <w:tcPr>
            <w:tcW w:type="dxa" w:w="2880"/>
          </w:tcPr>
          <w:p>
            <w:r>
              <w:t>Littératie médiatique</w:t>
            </w:r>
          </w:p>
        </w:tc>
        <w:tc>
          <w:tcPr>
            <w:tcW w:type="dxa" w:w="2880"/>
          </w:tcPr>
          <w:p>
            <w:r>
              <w:t>Messages numériques</w:t>
            </w:r>
          </w:p>
        </w:tc>
        <w:tc>
          <w:tcPr>
            <w:tcW w:type="dxa" w:w="2880"/>
          </w:tcPr>
          <w:p>
            <w:r>
              <w:t>Analyse des messages et de leur impact.</w:t>
            </w:r>
          </w:p>
        </w:tc>
      </w:tr>
    </w:tbl>
    <w:p>
      <w:pPr>
        <w:pStyle w:val="Heading2"/>
      </w:pPr>
      <w:r>
        <w:t>Sciences et technologie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Attente du curriculum</w:t>
            </w:r>
          </w:p>
        </w:tc>
        <w:tc>
          <w:tcPr>
            <w:tcW w:type="dxa" w:w="2880"/>
          </w:tcPr>
          <w:p>
            <w:r>
              <w:t>Segment vidéo</w:t>
            </w:r>
          </w:p>
        </w:tc>
        <w:tc>
          <w:tcPr>
            <w:tcW w:type="dxa" w:w="2880"/>
          </w:tcPr>
          <w:p>
            <w:r>
              <w:t>Lien pédagogique</w:t>
            </w:r>
          </w:p>
        </w:tc>
      </w:tr>
      <w:tr>
        <w:tc>
          <w:tcPr>
            <w:tcW w:type="dxa" w:w="2880"/>
          </w:tcPr>
          <w:p>
            <w:r>
              <w:t>Technologie et société</w:t>
            </w:r>
          </w:p>
        </w:tc>
        <w:tc>
          <w:tcPr>
            <w:tcW w:type="dxa" w:w="2880"/>
          </w:tcPr>
          <w:p>
            <w:r>
              <w:t>Utilisation des plateformes numériques</w:t>
            </w:r>
          </w:p>
        </w:tc>
        <w:tc>
          <w:tcPr>
            <w:tcW w:type="dxa" w:w="2880"/>
          </w:tcPr>
          <w:p>
            <w:r>
              <w:t>Compréhension de l’impact des technologies sur la communication.</w:t>
            </w:r>
          </w:p>
        </w:tc>
      </w:tr>
      <w:tr>
        <w:tc>
          <w:tcPr>
            <w:tcW w:type="dxa" w:w="2880"/>
          </w:tcPr>
          <w:p>
            <w:r>
              <w:t>Utilisation responsable des technologies</w:t>
            </w:r>
          </w:p>
        </w:tc>
        <w:tc>
          <w:tcPr>
            <w:tcW w:type="dxa" w:w="2880"/>
          </w:tcPr>
          <w:p>
            <w:r>
              <w:t>Importance de la communication éthique</w:t>
            </w:r>
          </w:p>
        </w:tc>
        <w:tc>
          <w:tcPr>
            <w:tcW w:type="dxa" w:w="2880"/>
          </w:tcPr>
          <w:p>
            <w:r>
              <w:t>Encourage une utilisation réfléchie des outils numériques.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